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6E43" w:rsidRDefault="00BB5D57" w:rsidP="00062B77">
      <w:pPr>
        <w:jc w:val="right"/>
        <w:rPr>
          <w:noProof/>
        </w:rPr>
      </w:pPr>
      <w:r>
        <w:t xml:space="preserve">                           </w:t>
      </w:r>
      <w:r w:rsidR="00142C7D" w:rsidRPr="00532F03">
        <w:t xml:space="preserve">                                                                                                </w:t>
      </w:r>
      <w:r w:rsidR="00E96E43" w:rsidRPr="00532F03">
        <w:br/>
      </w:r>
    </w:p>
    <w:p w:rsidR="00CD18D7" w:rsidRDefault="00CD18D7" w:rsidP="00062B77">
      <w:pPr>
        <w:jc w:val="right"/>
      </w:pPr>
    </w:p>
    <w:p w:rsidR="00444965" w:rsidRPr="00532F03" w:rsidRDefault="0054676D" w:rsidP="00062B77">
      <w:pPr>
        <w:jc w:val="right"/>
      </w:pPr>
      <w:r>
        <w:rPr>
          <w:noProof/>
        </w:rPr>
        <mc:AlternateContent>
          <mc:Choice Requires="wps">
            <w:drawing>
              <wp:anchor distT="45720" distB="45720" distL="114300" distR="114300" simplePos="0" relativeHeight="251658240" behindDoc="0" locked="0" layoutInCell="1" allowOverlap="1">
                <wp:simplePos x="0" y="0"/>
                <wp:positionH relativeFrom="column">
                  <wp:posOffset>64770</wp:posOffset>
                </wp:positionH>
                <wp:positionV relativeFrom="paragraph">
                  <wp:posOffset>675640</wp:posOffset>
                </wp:positionV>
                <wp:extent cx="6246495" cy="1009650"/>
                <wp:effectExtent l="5715" t="12700" r="5715" b="63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495" cy="1009650"/>
                        </a:xfrm>
                        <a:prstGeom prst="rect">
                          <a:avLst/>
                        </a:prstGeom>
                        <a:solidFill>
                          <a:srgbClr val="FFFFFF"/>
                        </a:solidFill>
                        <a:ln w="9525">
                          <a:solidFill>
                            <a:srgbClr val="000000"/>
                          </a:solidFill>
                          <a:miter lim="800000"/>
                          <a:headEnd/>
                          <a:tailEnd/>
                        </a:ln>
                      </wps:spPr>
                      <wps:txbx>
                        <w:txbxContent>
                          <w:p w:rsidR="00CD18D7" w:rsidRPr="006B3F53" w:rsidRDefault="00CD18D7" w:rsidP="00CD18D7">
                            <w:pPr>
                              <w:rPr>
                                <w:rFonts w:ascii="Arial" w:hAnsi="Arial" w:cs="Arial"/>
                                <w:b/>
                                <w:u w:val="single"/>
                              </w:rPr>
                            </w:pPr>
                            <w:bookmarkStart w:id="0" w:name="_GoBack"/>
                            <w:r w:rsidRPr="006B3F53">
                              <w:rPr>
                                <w:rFonts w:ascii="Arial" w:hAnsi="Arial" w:cs="Arial"/>
                                <w:b/>
                                <w:u w:val="single"/>
                              </w:rPr>
                              <w:t xml:space="preserve">THIS DOCUMENT IS NOT A CONTRACT OF EMPLOYMENT. PRIOR DOCUMENTS ON THIS SUBJECT ARE REVOKED. ALL EMPLOYEES ARE EMPLOYED ON AN AT WILL BASIS WHICH MEANS THAT EITHER THE EMPLOYEE OR THE EMPLOYER MAY TERMINATE THE EMPLOYMENT RELATIONSHIP AT ANY TIME, WITH OR WITHOUT NOTICE OR CAUSE. </w:t>
                            </w:r>
                          </w:p>
                          <w:bookmarkEnd w:id="0"/>
                          <w:p w:rsidR="00CD18D7" w:rsidRDefault="00CD18D7" w:rsidP="00CD18D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pt;margin-top:53.2pt;width:491.85pt;height:79.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">
                <v:textbox>
                  <w:txbxContent>
                    <w:p w:rsidR="00CD18D7" w:rsidRPr="006B3F53" w:rsidRDefault="00CD18D7" w:rsidP="00CD18D7">
                      <w:pPr>
                        <w:rPr>
                          <w:rFonts w:ascii="Arial" w:hAnsi="Arial" w:cs="Arial"/>
                          <w:b/>
                          <w:u w:val="single"/>
                        </w:rPr>
                      </w:pPr>
                      <w:bookmarkStart w:id="1" w:name="_GoBack"/>
                      <w:r w:rsidRPr="006B3F53">
                        <w:rPr>
                          <w:rFonts w:ascii="Arial" w:hAnsi="Arial" w:cs="Arial"/>
                          <w:b/>
                          <w:u w:val="single"/>
                        </w:rPr>
                        <w:t xml:space="preserve">THIS DOCUMENT IS NOT A CONTRACT OF EMPLOYMENT. PRIOR DOCUMENTS ON THIS SUBJECT ARE REVOKED. ALL EMPLOYEES ARE EMPLOYED ON AN AT WILL BASIS WHICH MEANS THAT EITHER THE EMPLOYEE OR THE EMPLOYER MAY TERMINATE THE EMPLOYMENT RELATIONSHIP AT ANY TIME, WITH OR WITHOUT NOTICE OR CAUSE. </w:t>
                      </w:r>
                    </w:p>
                    <w:bookmarkEnd w:id="1"/>
                    <w:p w:rsidR="00CD18D7" w:rsidRDefault="00CD18D7" w:rsidP="00CD18D7"/>
                  </w:txbxContent>
                </v:textbox>
                <w10:wrap type="square"/>
              </v:shape>
            </w:pict>
          </mc:Fallback>
        </mc:AlternateConten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450"/>
        <w:gridCol w:w="4950"/>
      </w:tblGrid>
      <w:tr w:rsidR="00E96E43" w:rsidRPr="003A226E" w:rsidTr="00192053">
        <w:trPr>
          <w:trHeight w:val="900"/>
        </w:trPr>
        <w:tc>
          <w:tcPr>
            <w:tcW w:w="4500" w:type="dxa"/>
          </w:tcPr>
          <w:p w:rsidR="00E96E43" w:rsidRPr="003A226E" w:rsidRDefault="00E96E43">
            <w:r w:rsidRPr="003A226E">
              <w:t>Policy #</w:t>
            </w:r>
          </w:p>
          <w:p w:rsidR="00E96E43" w:rsidRPr="003A226E" w:rsidRDefault="00E96E43">
            <w:pPr>
              <w:pStyle w:val="Heading1"/>
              <w:rPr>
                <w:rFonts w:ascii="Times New Roman" w:hAnsi="Times New Roman" w:cs="Times New Roman"/>
                <w:sz w:val="28"/>
                <w:szCs w:val="28"/>
              </w:rPr>
            </w:pPr>
            <w:r w:rsidRPr="003A226E">
              <w:rPr>
                <w:rFonts w:ascii="Times New Roman" w:hAnsi="Times New Roman" w:cs="Times New Roman"/>
                <w:sz w:val="28"/>
                <w:szCs w:val="28"/>
              </w:rPr>
              <w:t>Internal Affairs/Citizen Complaints</w:t>
            </w:r>
          </w:p>
        </w:tc>
        <w:tc>
          <w:tcPr>
            <w:tcW w:w="5400" w:type="dxa"/>
            <w:gridSpan w:val="2"/>
          </w:tcPr>
          <w:p w:rsidR="00E96E43" w:rsidRPr="003A226E" w:rsidRDefault="00E96E43">
            <w:r w:rsidRPr="003A226E">
              <w:t>Related Policies:</w:t>
            </w:r>
          </w:p>
        </w:tc>
      </w:tr>
      <w:tr w:rsidR="00E96E43" w:rsidRPr="003A226E">
        <w:trPr>
          <w:trHeight w:val="1275"/>
        </w:trPr>
        <w:tc>
          <w:tcPr>
            <w:tcW w:w="9900" w:type="dxa"/>
            <w:gridSpan w:val="3"/>
          </w:tcPr>
          <w:p w:rsidR="00E96E43" w:rsidRPr="003A226E" w:rsidRDefault="00E96E43">
            <w:pPr>
              <w:jc w:val="both"/>
              <w:rPr>
                <w:i/>
              </w:rPr>
            </w:pPr>
            <w:r w:rsidRPr="003A226E">
              <w:rPr>
                <w:i/>
              </w:rPr>
              <w:t xml:space="preserve">This policy is for internal use only and does not enlarge an employee’s civil liability in any way. The policy should not </w:t>
            </w:r>
            <w:proofErr w:type="gramStart"/>
            <w:r w:rsidRPr="003A226E">
              <w:rPr>
                <w:i/>
              </w:rPr>
              <w:t>be construed</w:t>
            </w:r>
            <w:proofErr w:type="gramEnd"/>
            <w:r w:rsidRPr="003A226E">
              <w:rPr>
                <w:i/>
              </w:rPr>
              <w:t xml:space="preserve"> as creating a higher duty of care, in an evidentiary sense, with respect to third party civil claims against employees. A violation of this policy, if proven, can only form the basis of a complaint by this department for non-judicial administrative action in accordance with the laws governing employee discipline.</w:t>
            </w:r>
          </w:p>
        </w:tc>
      </w:tr>
      <w:tr w:rsidR="00E96E43" w:rsidRPr="003A226E">
        <w:trPr>
          <w:trHeight w:val="710"/>
        </w:trPr>
        <w:tc>
          <w:tcPr>
            <w:tcW w:w="9900" w:type="dxa"/>
            <w:gridSpan w:val="3"/>
          </w:tcPr>
          <w:p w:rsidR="009810C5" w:rsidRDefault="00E96E43">
            <w:pPr>
              <w:jc w:val="both"/>
            </w:pPr>
            <w:r w:rsidRPr="009810C5">
              <w:t xml:space="preserve">Applicable </w:t>
            </w:r>
            <w:r w:rsidR="00BC6C0F" w:rsidRPr="009810C5">
              <w:t xml:space="preserve">South Carolina </w:t>
            </w:r>
            <w:r w:rsidRPr="009810C5">
              <w:t>Statutes:</w:t>
            </w:r>
            <w:r w:rsidR="00A02CC9" w:rsidRPr="009810C5">
              <w:t xml:space="preserve"> </w:t>
            </w:r>
            <w:r w:rsidR="002B01A8" w:rsidRPr="009810C5">
              <w:t>S.C. §8-17-140</w:t>
            </w:r>
          </w:p>
          <w:p w:rsidR="009810C5" w:rsidRPr="009810C5" w:rsidRDefault="009810C5">
            <w:pPr>
              <w:jc w:val="both"/>
            </w:pPr>
          </w:p>
          <w:p w:rsidR="00BC6C0F" w:rsidRPr="009810C5" w:rsidRDefault="00BC6C0F" w:rsidP="00BC6C0F">
            <w:pPr>
              <w:jc w:val="both"/>
              <w:rPr>
                <w:color w:val="0070C0"/>
              </w:rPr>
            </w:pPr>
            <w:r w:rsidRPr="009810C5">
              <w:rPr>
                <w:b/>
                <w:bCs/>
                <w:color w:val="0070C0"/>
              </w:rPr>
              <w:t>Definitions, law enforcement misconduct</w:t>
            </w:r>
          </w:p>
          <w:p w:rsidR="00BC6C0F" w:rsidRPr="009810C5" w:rsidRDefault="00BC6C0F" w:rsidP="00BC6C0F">
            <w:pPr>
              <w:jc w:val="both"/>
              <w:rPr>
                <w:color w:val="0070C0"/>
              </w:rPr>
            </w:pPr>
            <w:r w:rsidRPr="009810C5">
              <w:rPr>
                <w:color w:val="0070C0"/>
              </w:rPr>
              <w:t>SECTION 2. Section </w:t>
            </w:r>
            <w:hyperlink r:id="rId12" w:anchor="23-23-150" w:history="1">
              <w:r w:rsidRPr="009810C5">
                <w:rPr>
                  <w:rStyle w:val="Hyperlink"/>
                  <w:color w:val="0070C0"/>
                </w:rPr>
                <w:t>23-23-150</w:t>
              </w:r>
            </w:hyperlink>
            <w:r w:rsidRPr="009810C5">
              <w:rPr>
                <w:color w:val="0070C0"/>
              </w:rPr>
              <w:t>(A) and (B) of the 1976 Code, as added by Act 215 of 2018 amended 2022</w:t>
            </w:r>
          </w:p>
          <w:p w:rsidR="009810C5" w:rsidRPr="009810C5" w:rsidRDefault="009810C5" w:rsidP="009810C5">
            <w:pPr>
              <w:jc w:val="both"/>
              <w:rPr>
                <w:color w:val="00B050"/>
              </w:rPr>
            </w:pPr>
          </w:p>
          <w:p w:rsidR="00BC6C0F" w:rsidRDefault="009810C5">
            <w:pPr>
              <w:jc w:val="both"/>
              <w:rPr>
                <w:color w:val="00B050"/>
              </w:rPr>
            </w:pPr>
            <w:r w:rsidRPr="009810C5">
              <w:rPr>
                <w:color w:val="00B050"/>
              </w:rPr>
              <w:t>SC 23-23-85 Standard—Internal Affairs</w:t>
            </w:r>
            <w:r>
              <w:rPr>
                <w:color w:val="00B050"/>
              </w:rPr>
              <w:t xml:space="preserve">, </w:t>
            </w:r>
            <w:r w:rsidR="0064586C">
              <w:rPr>
                <w:color w:val="00B050"/>
              </w:rPr>
              <w:t xml:space="preserve">Act 218 Standards shown </w:t>
            </w:r>
            <w:r>
              <w:rPr>
                <w:color w:val="00B050"/>
              </w:rPr>
              <w:t xml:space="preserve">in green text. </w:t>
            </w:r>
          </w:p>
          <w:p w:rsidR="009810C5" w:rsidRPr="009810C5" w:rsidRDefault="009810C5">
            <w:pPr>
              <w:jc w:val="both"/>
              <w:rPr>
                <w:color w:val="00B050"/>
              </w:rPr>
            </w:pPr>
          </w:p>
        </w:tc>
      </w:tr>
      <w:tr w:rsidR="00E96E43" w:rsidRPr="003A226E">
        <w:trPr>
          <w:trHeight w:val="710"/>
        </w:trPr>
        <w:tc>
          <w:tcPr>
            <w:tcW w:w="9900" w:type="dxa"/>
            <w:gridSpan w:val="3"/>
          </w:tcPr>
          <w:p w:rsidR="00E96E43" w:rsidRPr="003A226E" w:rsidRDefault="00E96E43">
            <w:pPr>
              <w:jc w:val="both"/>
              <w:rPr>
                <w:b/>
              </w:rPr>
            </w:pPr>
            <w:r w:rsidRPr="003A226E">
              <w:t xml:space="preserve">CALEA Standard:  </w:t>
            </w:r>
            <w:r w:rsidRPr="003A226E">
              <w:rPr>
                <w:b/>
              </w:rPr>
              <w:t>52.1.1, 52.1.2, 52.1.3, 52.1.4, 52.1.5, 52.1.2</w:t>
            </w:r>
          </w:p>
        </w:tc>
      </w:tr>
      <w:tr w:rsidR="00532F03" w:rsidRPr="003A226E">
        <w:trPr>
          <w:trHeight w:val="710"/>
        </w:trPr>
        <w:tc>
          <w:tcPr>
            <w:tcW w:w="4950" w:type="dxa"/>
            <w:gridSpan w:val="2"/>
          </w:tcPr>
          <w:p w:rsidR="00532F03" w:rsidRPr="0087360E" w:rsidRDefault="0087360E">
            <w:pPr>
              <w:jc w:val="both"/>
              <w:rPr>
                <w:b/>
                <w:bCs/>
              </w:rPr>
            </w:pPr>
            <w:r w:rsidRPr="0087360E">
              <w:rPr>
                <w:b/>
                <w:bCs/>
              </w:rPr>
              <w:t xml:space="preserve">Signature: </w:t>
            </w:r>
          </w:p>
          <w:p w:rsidR="0087360E" w:rsidRPr="0087360E" w:rsidRDefault="0087360E">
            <w:pPr>
              <w:jc w:val="both"/>
              <w:rPr>
                <w:b/>
                <w:bCs/>
              </w:rPr>
            </w:pPr>
          </w:p>
          <w:p w:rsidR="0087360E" w:rsidRPr="0087360E" w:rsidRDefault="0087360E">
            <w:pPr>
              <w:jc w:val="both"/>
              <w:rPr>
                <w:b/>
                <w:bCs/>
              </w:rPr>
            </w:pPr>
            <w:r w:rsidRPr="0087360E">
              <w:rPr>
                <w:b/>
                <w:bCs/>
              </w:rPr>
              <w:t xml:space="preserve">Date: </w:t>
            </w:r>
          </w:p>
        </w:tc>
        <w:tc>
          <w:tcPr>
            <w:tcW w:w="4950" w:type="dxa"/>
          </w:tcPr>
          <w:p w:rsidR="00532F03" w:rsidRPr="0087360E" w:rsidRDefault="00532F03">
            <w:pPr>
              <w:jc w:val="both"/>
              <w:rPr>
                <w:b/>
                <w:bCs/>
              </w:rPr>
            </w:pPr>
            <w:r w:rsidRPr="0087360E">
              <w:rPr>
                <w:b/>
                <w:bCs/>
              </w:rPr>
              <w:t>Review Date:</w:t>
            </w:r>
          </w:p>
        </w:tc>
      </w:tr>
    </w:tbl>
    <w:p w:rsidR="00E96E43" w:rsidRDefault="00E96E43"/>
    <w:p w:rsidR="00E96E43" w:rsidRPr="003A226E" w:rsidRDefault="00E96E43">
      <w:pPr>
        <w:numPr>
          <w:ilvl w:val="0"/>
          <w:numId w:val="13"/>
        </w:numPr>
        <w:tabs>
          <w:tab w:val="num" w:pos="1080"/>
        </w:tabs>
        <w:overflowPunct w:val="0"/>
        <w:autoSpaceDE w:val="0"/>
        <w:autoSpaceDN w:val="0"/>
        <w:adjustRightInd w:val="0"/>
        <w:spacing w:after="120"/>
        <w:jc w:val="both"/>
        <w:textAlignment w:val="baseline"/>
      </w:pPr>
      <w:r w:rsidRPr="003A226E">
        <w:rPr>
          <w:b/>
        </w:rPr>
        <w:t>Purpose:</w:t>
      </w:r>
      <w:r w:rsidRPr="003A226E">
        <w:t xml:space="preserve"> It is imperative that the Police Department operates in a degree of transparency and is responsive to complaints alleging employee misconduct and external concerns regarding the operation of the Department.  Members of the public should </w:t>
      </w:r>
      <w:proofErr w:type="gramStart"/>
      <w:r w:rsidRPr="003A226E">
        <w:t>be provided</w:t>
      </w:r>
      <w:proofErr w:type="gramEnd"/>
      <w:r w:rsidRPr="003A226E">
        <w:t xml:space="preserve"> with a reasonable avenue for any redress of grievances they may have with the service received by police employees and the conduct of the Police Department.  This policy provide</w:t>
      </w:r>
      <w:r w:rsidR="007847F9" w:rsidRPr="003A226E">
        <w:t>s</w:t>
      </w:r>
      <w:r w:rsidRPr="003A226E">
        <w:t xml:space="preserve"> members of the Department with the procedures for the acceptance of complaints, the initiation of the administrative investigative process, the process for conducting a fair and reasonable investigation, the proper methods for adjudication of these administrative investigations, and the methods for the administration of fair, </w:t>
      </w:r>
      <w:proofErr w:type="gramStart"/>
      <w:r w:rsidRPr="003A226E">
        <w:t>reasonable</w:t>
      </w:r>
      <w:proofErr w:type="gramEnd"/>
      <w:r w:rsidRPr="003A226E">
        <w:t xml:space="preserve"> and defensible discipline.  It </w:t>
      </w:r>
      <w:proofErr w:type="gramStart"/>
      <w:r w:rsidRPr="003A226E">
        <w:t>is not required</w:t>
      </w:r>
      <w:proofErr w:type="gramEnd"/>
      <w:r w:rsidRPr="003A226E">
        <w:t xml:space="preserve"> that every agency have a designated person or unit expressly for IA/OPS operations, but every agency must have someone who becomes the most knowledgeable person regarding these practices.   </w:t>
      </w:r>
    </w:p>
    <w:p w:rsidR="00E96E43" w:rsidRPr="003A226E" w:rsidRDefault="00E96E43">
      <w:pPr>
        <w:numPr>
          <w:ilvl w:val="0"/>
          <w:numId w:val="13"/>
        </w:numPr>
        <w:spacing w:after="120"/>
      </w:pPr>
      <w:r w:rsidRPr="003A226E">
        <w:rPr>
          <w:b/>
        </w:rPr>
        <w:lastRenderedPageBreak/>
        <w:t>Policy:</w:t>
      </w:r>
      <w:r w:rsidRPr="003A226E">
        <w:t xml:space="preserve"> The Police Department will accept and document all complaints alleging employee or Department misconduct for the following principle reasons:</w:t>
      </w:r>
    </w:p>
    <w:p w:rsidR="00E96E43" w:rsidRPr="003A226E" w:rsidRDefault="00E96E43">
      <w:pPr>
        <w:numPr>
          <w:ilvl w:val="1"/>
          <w:numId w:val="13"/>
        </w:numPr>
        <w:spacing w:after="120"/>
      </w:pPr>
      <w:r w:rsidRPr="003A226E">
        <w:t xml:space="preserve">To ensure that complaints alleging employee or agency misconduct </w:t>
      </w:r>
      <w:proofErr w:type="gramStart"/>
      <w:r w:rsidRPr="003A226E">
        <w:t>are accepted</w:t>
      </w:r>
      <w:proofErr w:type="gramEnd"/>
      <w:r w:rsidRPr="003A226E">
        <w:t xml:space="preserve"> and investigated in a consistent and reasonable manner to uncover the truth of the allegations,</w:t>
      </w:r>
    </w:p>
    <w:p w:rsidR="00E96E43" w:rsidRPr="003A226E" w:rsidRDefault="00E96E43">
      <w:pPr>
        <w:numPr>
          <w:ilvl w:val="1"/>
          <w:numId w:val="13"/>
        </w:numPr>
        <w:spacing w:after="120"/>
      </w:pPr>
      <w:r w:rsidRPr="003A226E">
        <w:t>To identify areas of misunderstanding by the complaining citizen,</w:t>
      </w:r>
    </w:p>
    <w:p w:rsidR="00E96E43" w:rsidRPr="003A226E" w:rsidRDefault="00E96E43">
      <w:pPr>
        <w:numPr>
          <w:ilvl w:val="1"/>
          <w:numId w:val="13"/>
        </w:numPr>
        <w:spacing w:after="120"/>
      </w:pPr>
      <w:r w:rsidRPr="003A226E">
        <w:t xml:space="preserve">To identify employees whose attitude, behavior and/or performance </w:t>
      </w:r>
      <w:proofErr w:type="gramStart"/>
      <w:r w:rsidRPr="003A226E">
        <w:t>is in need of</w:t>
      </w:r>
      <w:proofErr w:type="gramEnd"/>
      <w:r w:rsidRPr="003A226E">
        <w:t xml:space="preserve"> correction and supervisory intervention,</w:t>
      </w:r>
    </w:p>
    <w:p w:rsidR="00E96E43" w:rsidRPr="003A226E" w:rsidRDefault="00E96E43">
      <w:pPr>
        <w:numPr>
          <w:ilvl w:val="1"/>
          <w:numId w:val="13"/>
        </w:numPr>
        <w:spacing w:after="120"/>
      </w:pPr>
      <w:r w:rsidRPr="003A226E">
        <w:t>To protect agency employees and the Department from erroneous complaints, and</w:t>
      </w:r>
    </w:p>
    <w:p w:rsidR="00E96E43" w:rsidRPr="003A226E" w:rsidRDefault="00E96E43">
      <w:pPr>
        <w:numPr>
          <w:ilvl w:val="1"/>
          <w:numId w:val="13"/>
        </w:numPr>
        <w:spacing w:after="120"/>
      </w:pPr>
      <w:r w:rsidRPr="003A226E">
        <w:t>To identify Department policies, training and/or practices in need of reevaluation, clarification and/or correction.</w:t>
      </w:r>
    </w:p>
    <w:p w:rsidR="00E96E43" w:rsidRPr="003A226E" w:rsidRDefault="00E96E43">
      <w:pPr>
        <w:numPr>
          <w:ilvl w:val="0"/>
          <w:numId w:val="13"/>
        </w:numPr>
        <w:spacing w:after="120"/>
        <w:rPr>
          <w:b/>
        </w:rPr>
      </w:pPr>
      <w:r w:rsidRPr="003A226E">
        <w:rPr>
          <w:b/>
        </w:rPr>
        <w:t xml:space="preserve">Definitions: </w:t>
      </w:r>
      <w:r w:rsidRPr="003A226E">
        <w:rPr>
          <w:b/>
        </w:rPr>
        <w:tab/>
      </w:r>
    </w:p>
    <w:p w:rsidR="00E96E43" w:rsidRPr="003A226E" w:rsidRDefault="00E96E43">
      <w:pPr>
        <w:numPr>
          <w:ilvl w:val="1"/>
          <w:numId w:val="13"/>
        </w:numPr>
        <w:spacing w:after="120"/>
      </w:pPr>
      <w:r w:rsidRPr="003A226E">
        <w:t xml:space="preserve">Complaint of employee misconduct:  A complaint is an allegation from any source of an act or omission by an agency employee, which if proven true, would be considered misconduct or a violation of agency policies, </w:t>
      </w:r>
      <w:proofErr w:type="gramStart"/>
      <w:r w:rsidRPr="003A226E">
        <w:t>rules</w:t>
      </w:r>
      <w:proofErr w:type="gramEnd"/>
      <w:r w:rsidRPr="003A226E">
        <w:t xml:space="preserve"> or regulations</w:t>
      </w:r>
    </w:p>
    <w:p w:rsidR="00E96E43" w:rsidRPr="003A226E" w:rsidRDefault="00E96E43">
      <w:pPr>
        <w:numPr>
          <w:ilvl w:val="1"/>
          <w:numId w:val="13"/>
        </w:numPr>
        <w:spacing w:after="120"/>
      </w:pPr>
      <w:r w:rsidRPr="003A226E">
        <w:t xml:space="preserve">Note:  Complaints regarding the validity of traffic citations or parking tickets </w:t>
      </w:r>
      <w:proofErr w:type="gramStart"/>
      <w:r w:rsidRPr="003A226E">
        <w:t>are not considered</w:t>
      </w:r>
      <w:proofErr w:type="gramEnd"/>
      <w:r w:rsidRPr="003A226E">
        <w:t xml:space="preserve"> complaints for this definition and the party should be referred to the proper court for resolution.</w:t>
      </w:r>
    </w:p>
    <w:p w:rsidR="00E96E43" w:rsidRPr="003A226E" w:rsidRDefault="00E96E43">
      <w:pPr>
        <w:numPr>
          <w:ilvl w:val="1"/>
          <w:numId w:val="13"/>
        </w:numPr>
        <w:spacing w:after="120"/>
      </w:pPr>
      <w:r w:rsidRPr="003A226E">
        <w:t>Complaint of agency dissatisfaction:  A complaint from an external source of dissatisfaction with an agency policy or practice</w:t>
      </w:r>
    </w:p>
    <w:p w:rsidR="00E96E43" w:rsidRPr="003A226E" w:rsidRDefault="00E96E43">
      <w:pPr>
        <w:numPr>
          <w:ilvl w:val="1"/>
          <w:numId w:val="13"/>
        </w:numPr>
        <w:spacing w:after="120"/>
      </w:pPr>
      <w:r w:rsidRPr="003A226E">
        <w:t xml:space="preserve">Public concerns regarding law enforcement operations not amounting to a complaint:  A concern expressed by a member of the public which does not meet the agency’s definition of a complaint, but must </w:t>
      </w:r>
      <w:proofErr w:type="gramStart"/>
      <w:r w:rsidRPr="003A226E">
        <w:t>be documented</w:t>
      </w:r>
      <w:proofErr w:type="gramEnd"/>
      <w:r w:rsidRPr="003A226E">
        <w:t xml:space="preserve"> by the agency employee receiving the information from the member of the public</w:t>
      </w:r>
    </w:p>
    <w:p w:rsidR="006E170E" w:rsidRPr="003A226E" w:rsidRDefault="006E170E">
      <w:pPr>
        <w:numPr>
          <w:ilvl w:val="1"/>
          <w:numId w:val="13"/>
        </w:numPr>
        <w:spacing w:after="120"/>
        <w:rPr>
          <w:color w:val="0070C0"/>
        </w:rPr>
      </w:pPr>
      <w:r w:rsidRPr="003A226E">
        <w:rPr>
          <w:color w:val="0070C0"/>
        </w:rPr>
        <w:t>Misconduct means</w:t>
      </w:r>
      <w:r w:rsidR="00BC6C0F" w:rsidRPr="003A226E">
        <w:rPr>
          <w:color w:val="0070C0"/>
        </w:rPr>
        <w:t>:</w:t>
      </w:r>
    </w:p>
    <w:p w:rsidR="006E170E" w:rsidRPr="003A226E" w:rsidRDefault="006E170E" w:rsidP="006E170E">
      <w:pPr>
        <w:numPr>
          <w:ilvl w:val="2"/>
          <w:numId w:val="13"/>
        </w:numPr>
        <w:spacing w:after="120"/>
        <w:rPr>
          <w:color w:val="0070C0"/>
        </w:rPr>
      </w:pPr>
      <w:r w:rsidRPr="003A226E">
        <w:rPr>
          <w:color w:val="0070C0"/>
        </w:rPr>
        <w:t xml:space="preserve">a conviction, plea of guilty, plea of no contest or admission of guilt to a felony, a crime punishable by a sentence of more than one year, regardless of the sentence </w:t>
      </w:r>
      <w:proofErr w:type="gramStart"/>
      <w:r w:rsidRPr="003A226E">
        <w:rPr>
          <w:color w:val="0070C0"/>
        </w:rPr>
        <w:t>actually imposed</w:t>
      </w:r>
      <w:proofErr w:type="gramEnd"/>
      <w:r w:rsidRPr="003A226E">
        <w:rPr>
          <w:color w:val="0070C0"/>
        </w:rPr>
        <w:t>, or a crime of moral turpitude, any of which were committed in this State or any other jurisdiction;</w:t>
      </w:r>
    </w:p>
    <w:p w:rsidR="006E170E" w:rsidRPr="003A226E" w:rsidRDefault="006E170E" w:rsidP="006E170E">
      <w:pPr>
        <w:numPr>
          <w:ilvl w:val="2"/>
          <w:numId w:val="13"/>
        </w:numPr>
        <w:spacing w:after="120"/>
        <w:rPr>
          <w:color w:val="0070C0"/>
        </w:rPr>
      </w:pPr>
      <w:r w:rsidRPr="003A226E">
        <w:rPr>
          <w:color w:val="0070C0"/>
        </w:rPr>
        <w:t>the unlawful use of a controlled substance;</w:t>
      </w:r>
    </w:p>
    <w:p w:rsidR="006E170E" w:rsidRPr="003A226E" w:rsidRDefault="006E170E" w:rsidP="006E170E">
      <w:pPr>
        <w:numPr>
          <w:ilvl w:val="2"/>
          <w:numId w:val="13"/>
        </w:numPr>
        <w:spacing w:after="120"/>
        <w:rPr>
          <w:color w:val="0070C0"/>
        </w:rPr>
      </w:pPr>
      <w:r w:rsidRPr="003A226E">
        <w:rPr>
          <w:color w:val="0070C0"/>
        </w:rPr>
        <w:t>the repeated use of excessive force in dealing with the public or prisoners;</w:t>
      </w:r>
    </w:p>
    <w:p w:rsidR="006E170E" w:rsidRPr="003A226E" w:rsidRDefault="006E170E" w:rsidP="006E170E">
      <w:pPr>
        <w:numPr>
          <w:ilvl w:val="2"/>
          <w:numId w:val="13"/>
        </w:numPr>
        <w:spacing w:after="120"/>
        <w:rPr>
          <w:color w:val="0070C0"/>
        </w:rPr>
      </w:pPr>
      <w:r w:rsidRPr="003A226E">
        <w:rPr>
          <w:color w:val="0070C0"/>
        </w:rPr>
        <w:t xml:space="preserve">dangerous or unsafe practices involving firearms, weapons, or vehicles which indicate either a </w:t>
      </w:r>
      <w:proofErr w:type="spellStart"/>
      <w:r w:rsidRPr="003A226E">
        <w:rPr>
          <w:color w:val="0070C0"/>
        </w:rPr>
        <w:t>wilful</w:t>
      </w:r>
      <w:proofErr w:type="spellEnd"/>
      <w:r w:rsidRPr="003A226E">
        <w:rPr>
          <w:color w:val="0070C0"/>
        </w:rPr>
        <w:t xml:space="preserve"> or wanton disregard for the safety of persons or property;</w:t>
      </w:r>
    </w:p>
    <w:p w:rsidR="006E170E" w:rsidRPr="003A226E" w:rsidRDefault="006E170E" w:rsidP="006E170E">
      <w:pPr>
        <w:numPr>
          <w:ilvl w:val="2"/>
          <w:numId w:val="13"/>
        </w:numPr>
        <w:spacing w:after="120"/>
        <w:rPr>
          <w:color w:val="0070C0"/>
        </w:rPr>
      </w:pPr>
      <w:r w:rsidRPr="003A226E">
        <w:rPr>
          <w:color w:val="0070C0"/>
        </w:rPr>
        <w:t>the physical or psychological abuse of members of the public or prisoners;</w:t>
      </w:r>
    </w:p>
    <w:p w:rsidR="006E170E" w:rsidRPr="003A226E" w:rsidRDefault="006E170E" w:rsidP="006E170E">
      <w:pPr>
        <w:numPr>
          <w:ilvl w:val="2"/>
          <w:numId w:val="13"/>
        </w:numPr>
        <w:spacing w:after="120"/>
        <w:rPr>
          <w:color w:val="0070C0"/>
        </w:rPr>
      </w:pPr>
      <w:r w:rsidRPr="003A226E">
        <w:rPr>
          <w:color w:val="0070C0"/>
        </w:rPr>
        <w:t xml:space="preserve">the </w:t>
      </w:r>
      <w:proofErr w:type="spellStart"/>
      <w:r w:rsidRPr="003A226E">
        <w:rPr>
          <w:color w:val="0070C0"/>
        </w:rPr>
        <w:t>wilful</w:t>
      </w:r>
      <w:proofErr w:type="spellEnd"/>
      <w:r w:rsidRPr="003A226E">
        <w:rPr>
          <w:color w:val="0070C0"/>
        </w:rPr>
        <w:t xml:space="preserve"> failure to intervene when observing another officer physically abusing a person, </w:t>
      </w:r>
      <w:proofErr w:type="gramStart"/>
      <w:r w:rsidRPr="003A226E">
        <w:rPr>
          <w:color w:val="0070C0"/>
        </w:rPr>
        <w:t>whether or not</w:t>
      </w:r>
      <w:proofErr w:type="gramEnd"/>
      <w:r w:rsidRPr="003A226E">
        <w:rPr>
          <w:color w:val="0070C0"/>
        </w:rPr>
        <w:t xml:space="preserve"> the person is in custody, while in the performance of his official duties, if the officer knew the person's rights were being violated, the officer had an opportunity to intervene, and the officer chose not to do so;</w:t>
      </w:r>
    </w:p>
    <w:p w:rsidR="006E170E" w:rsidRPr="003A226E" w:rsidRDefault="006E170E" w:rsidP="006E170E">
      <w:pPr>
        <w:numPr>
          <w:ilvl w:val="2"/>
          <w:numId w:val="13"/>
        </w:numPr>
        <w:spacing w:after="120"/>
        <w:rPr>
          <w:color w:val="0070C0"/>
        </w:rPr>
      </w:pPr>
      <w:r w:rsidRPr="003A226E">
        <w:rPr>
          <w:color w:val="0070C0"/>
        </w:rPr>
        <w:t xml:space="preserve"> the </w:t>
      </w:r>
      <w:proofErr w:type="spellStart"/>
      <w:r w:rsidRPr="003A226E">
        <w:rPr>
          <w:color w:val="0070C0"/>
        </w:rPr>
        <w:t>wilful</w:t>
      </w:r>
      <w:proofErr w:type="spellEnd"/>
      <w:r w:rsidRPr="003A226E">
        <w:rPr>
          <w:color w:val="0070C0"/>
        </w:rPr>
        <w:t xml:space="preserve"> and knowing failure to promptly report another officer, while in the performance of his official duties, abusing a person </w:t>
      </w:r>
      <w:proofErr w:type="gramStart"/>
      <w:r w:rsidRPr="003A226E">
        <w:rPr>
          <w:color w:val="0070C0"/>
        </w:rPr>
        <w:t>whether or not</w:t>
      </w:r>
      <w:proofErr w:type="gramEnd"/>
      <w:r w:rsidRPr="003A226E">
        <w:rPr>
          <w:color w:val="0070C0"/>
        </w:rPr>
        <w:t xml:space="preserve"> the person is in custody;</w:t>
      </w:r>
    </w:p>
    <w:p w:rsidR="006E170E" w:rsidRPr="003A226E" w:rsidRDefault="006E170E" w:rsidP="006E170E">
      <w:pPr>
        <w:numPr>
          <w:ilvl w:val="2"/>
          <w:numId w:val="13"/>
        </w:numPr>
        <w:spacing w:after="120"/>
        <w:rPr>
          <w:color w:val="0070C0"/>
        </w:rPr>
      </w:pPr>
      <w:r w:rsidRPr="003A226E">
        <w:rPr>
          <w:color w:val="0070C0"/>
        </w:rPr>
        <w:lastRenderedPageBreak/>
        <w:t>the misrepresentation of employment-related information;</w:t>
      </w:r>
    </w:p>
    <w:p w:rsidR="006E170E" w:rsidRPr="003A226E" w:rsidRDefault="006E170E" w:rsidP="006E170E">
      <w:pPr>
        <w:numPr>
          <w:ilvl w:val="2"/>
          <w:numId w:val="13"/>
        </w:numPr>
        <w:spacing w:after="120"/>
        <w:rPr>
          <w:color w:val="0070C0"/>
        </w:rPr>
      </w:pPr>
      <w:proofErr w:type="spellStart"/>
      <w:r w:rsidRPr="003A226E">
        <w:rPr>
          <w:color w:val="0070C0"/>
        </w:rPr>
        <w:t>wilfully</w:t>
      </w:r>
      <w:proofErr w:type="spellEnd"/>
      <w:r w:rsidRPr="003A226E">
        <w:rPr>
          <w:color w:val="0070C0"/>
        </w:rPr>
        <w:t xml:space="preserve"> making false, misleading, incomplete, deceitful, or incorrect statements to a law enforcement officer, a law enforcement agency, or a representative of the agency, except when required by departmental policy or by the laws of this State;</w:t>
      </w:r>
    </w:p>
    <w:p w:rsidR="006E170E" w:rsidRPr="003A226E" w:rsidRDefault="006E170E" w:rsidP="006E170E">
      <w:pPr>
        <w:numPr>
          <w:ilvl w:val="2"/>
          <w:numId w:val="13"/>
        </w:numPr>
        <w:spacing w:after="120"/>
        <w:rPr>
          <w:color w:val="0070C0"/>
        </w:rPr>
      </w:pPr>
      <w:proofErr w:type="spellStart"/>
      <w:r w:rsidRPr="003A226E">
        <w:rPr>
          <w:color w:val="0070C0"/>
        </w:rPr>
        <w:t>wilfully</w:t>
      </w:r>
      <w:proofErr w:type="spellEnd"/>
      <w:r w:rsidRPr="003A226E">
        <w:rPr>
          <w:color w:val="0070C0"/>
        </w:rPr>
        <w:t xml:space="preserve"> making false, misleading, incomplete, deceitful, or incorrect statements to any court of competent jurisdiction, or their staff members, whether under oath or not;</w:t>
      </w:r>
    </w:p>
    <w:p w:rsidR="006E170E" w:rsidRPr="003A226E" w:rsidRDefault="006E170E" w:rsidP="006E170E">
      <w:pPr>
        <w:numPr>
          <w:ilvl w:val="2"/>
          <w:numId w:val="13"/>
        </w:numPr>
        <w:spacing w:after="120"/>
        <w:rPr>
          <w:color w:val="0070C0"/>
        </w:rPr>
      </w:pPr>
      <w:proofErr w:type="spellStart"/>
      <w:r w:rsidRPr="003A226E">
        <w:rPr>
          <w:color w:val="0070C0"/>
        </w:rPr>
        <w:t>wilfully</w:t>
      </w:r>
      <w:proofErr w:type="spellEnd"/>
      <w:r w:rsidRPr="003A226E">
        <w:rPr>
          <w:color w:val="0070C0"/>
        </w:rPr>
        <w:t xml:space="preserve"> providing false, misleading, incomplete, deceitful, or incorrect information on a document, record, report, or form, except when required by departmental policy or by the laws of this State;</w:t>
      </w:r>
    </w:p>
    <w:p w:rsidR="006E170E" w:rsidRPr="003A226E" w:rsidRDefault="006E170E" w:rsidP="006E170E">
      <w:pPr>
        <w:numPr>
          <w:ilvl w:val="2"/>
          <w:numId w:val="13"/>
        </w:numPr>
        <w:spacing w:after="120"/>
        <w:rPr>
          <w:color w:val="0070C0"/>
        </w:rPr>
      </w:pPr>
      <w:r w:rsidRPr="003A226E">
        <w:rPr>
          <w:color w:val="0070C0"/>
        </w:rPr>
        <w:t xml:space="preserve">the falsification of any application for certification and training based upon which the officer </w:t>
      </w:r>
      <w:proofErr w:type="gramStart"/>
      <w:r w:rsidRPr="003A226E">
        <w:rPr>
          <w:color w:val="0070C0"/>
        </w:rPr>
        <w:t>was admitted</w:t>
      </w:r>
      <w:proofErr w:type="gramEnd"/>
      <w:r w:rsidRPr="003A226E">
        <w:rPr>
          <w:color w:val="0070C0"/>
        </w:rPr>
        <w:t xml:space="preserve"> for training; or</w:t>
      </w:r>
    </w:p>
    <w:p w:rsidR="006E170E" w:rsidRPr="003A226E" w:rsidRDefault="006E170E" w:rsidP="006E170E">
      <w:pPr>
        <w:numPr>
          <w:ilvl w:val="2"/>
          <w:numId w:val="13"/>
        </w:numPr>
        <w:spacing w:after="120"/>
        <w:rPr>
          <w:color w:val="0070C0"/>
        </w:rPr>
      </w:pPr>
      <w:proofErr w:type="spellStart"/>
      <w:r w:rsidRPr="003A226E">
        <w:rPr>
          <w:color w:val="0070C0"/>
        </w:rPr>
        <w:t>wilfully</w:t>
      </w:r>
      <w:proofErr w:type="spellEnd"/>
      <w:r w:rsidRPr="003A226E">
        <w:rPr>
          <w:color w:val="0070C0"/>
        </w:rPr>
        <w:t xml:space="preserve"> providing false information to the Criminal Justice Academy or the Law Enforcement Training Council.</w:t>
      </w:r>
    </w:p>
    <w:p w:rsidR="00E96E43" w:rsidRPr="003A226E" w:rsidRDefault="00E96E43">
      <w:pPr>
        <w:numPr>
          <w:ilvl w:val="0"/>
          <w:numId w:val="13"/>
        </w:numPr>
        <w:tabs>
          <w:tab w:val="num" w:pos="1080"/>
        </w:tabs>
        <w:overflowPunct w:val="0"/>
        <w:autoSpaceDE w:val="0"/>
        <w:autoSpaceDN w:val="0"/>
        <w:adjustRightInd w:val="0"/>
        <w:spacing w:after="120"/>
        <w:jc w:val="both"/>
        <w:textAlignment w:val="baseline"/>
        <w:rPr>
          <w:b/>
        </w:rPr>
      </w:pPr>
      <w:r w:rsidRPr="003A226E">
        <w:t xml:space="preserve"> </w:t>
      </w:r>
      <w:r w:rsidRPr="003A226E">
        <w:rPr>
          <w:b/>
        </w:rPr>
        <w:t>Procedure:</w:t>
      </w:r>
    </w:p>
    <w:p w:rsidR="00E96E43" w:rsidRPr="009810C5" w:rsidRDefault="00E96E43">
      <w:pPr>
        <w:numPr>
          <w:ilvl w:val="1"/>
          <w:numId w:val="13"/>
        </w:numPr>
        <w:overflowPunct w:val="0"/>
        <w:autoSpaceDE w:val="0"/>
        <w:autoSpaceDN w:val="0"/>
        <w:adjustRightInd w:val="0"/>
        <w:spacing w:after="120"/>
        <w:jc w:val="both"/>
        <w:textAlignment w:val="baseline"/>
        <w:rPr>
          <w:color w:val="00B050"/>
        </w:rPr>
      </w:pPr>
      <w:r w:rsidRPr="003A226E">
        <w:t xml:space="preserve"> </w:t>
      </w:r>
      <w:r w:rsidRPr="009810C5">
        <w:rPr>
          <w:color w:val="00B050"/>
        </w:rPr>
        <w:t>Sources for complaints: A complaint can originate from any of the following sources:</w:t>
      </w:r>
    </w:p>
    <w:p w:rsidR="00E96E43" w:rsidRPr="003A226E" w:rsidRDefault="00E96E43">
      <w:pPr>
        <w:numPr>
          <w:ilvl w:val="2"/>
          <w:numId w:val="13"/>
        </w:numPr>
        <w:spacing w:after="120"/>
      </w:pPr>
      <w:r w:rsidRPr="003A226E">
        <w:t>Individual aggrieved person,</w:t>
      </w:r>
    </w:p>
    <w:p w:rsidR="00E96E43" w:rsidRPr="003A226E" w:rsidRDefault="00E96E43">
      <w:pPr>
        <w:numPr>
          <w:ilvl w:val="2"/>
          <w:numId w:val="13"/>
        </w:numPr>
        <w:spacing w:after="120"/>
      </w:pPr>
      <w:r w:rsidRPr="003A226E">
        <w:t>Third party,</w:t>
      </w:r>
    </w:p>
    <w:p w:rsidR="00E96E43" w:rsidRPr="003A226E" w:rsidRDefault="00E96E43">
      <w:pPr>
        <w:numPr>
          <w:ilvl w:val="2"/>
          <w:numId w:val="13"/>
        </w:numPr>
        <w:spacing w:after="120"/>
      </w:pPr>
      <w:r w:rsidRPr="003A226E">
        <w:t>Anonymous,</w:t>
      </w:r>
    </w:p>
    <w:p w:rsidR="00E96E43" w:rsidRPr="003A226E" w:rsidRDefault="00E96E43">
      <w:pPr>
        <w:numPr>
          <w:ilvl w:val="2"/>
          <w:numId w:val="13"/>
        </w:numPr>
        <w:spacing w:after="120"/>
      </w:pPr>
      <w:r w:rsidRPr="003A226E">
        <w:t>Agency employee,</w:t>
      </w:r>
    </w:p>
    <w:p w:rsidR="00E96E43" w:rsidRPr="003A226E" w:rsidRDefault="00E96E43">
      <w:pPr>
        <w:numPr>
          <w:ilvl w:val="2"/>
          <w:numId w:val="13"/>
        </w:numPr>
        <w:spacing w:after="120"/>
      </w:pPr>
      <w:r w:rsidRPr="003A226E">
        <w:t>News media,</w:t>
      </w:r>
    </w:p>
    <w:p w:rsidR="00E96E43" w:rsidRPr="003A226E" w:rsidRDefault="00E96E43">
      <w:pPr>
        <w:numPr>
          <w:ilvl w:val="2"/>
          <w:numId w:val="13"/>
        </w:numPr>
        <w:spacing w:after="120"/>
      </w:pPr>
      <w:r w:rsidRPr="003A226E">
        <w:t>Governmental agency,</w:t>
      </w:r>
    </w:p>
    <w:p w:rsidR="00E96E43" w:rsidRPr="003A226E" w:rsidRDefault="00E96E43">
      <w:pPr>
        <w:numPr>
          <w:ilvl w:val="2"/>
          <w:numId w:val="13"/>
        </w:numPr>
        <w:spacing w:after="120"/>
      </w:pPr>
      <w:r w:rsidRPr="003A226E">
        <w:t xml:space="preserve"> Of civil claim,</w:t>
      </w:r>
    </w:p>
    <w:p w:rsidR="00E96E43" w:rsidRPr="003A226E" w:rsidRDefault="00E96E43">
      <w:pPr>
        <w:numPr>
          <w:ilvl w:val="2"/>
          <w:numId w:val="13"/>
        </w:numPr>
        <w:spacing w:after="120"/>
      </w:pPr>
      <w:proofErr w:type="gramStart"/>
      <w:r w:rsidRPr="003A226E">
        <w:t>Complaints can be made by members of the public</w:t>
      </w:r>
      <w:proofErr w:type="gramEnd"/>
      <w:r w:rsidRPr="003A226E">
        <w:t>:</w:t>
      </w:r>
    </w:p>
    <w:p w:rsidR="00E96E43" w:rsidRPr="003A226E" w:rsidRDefault="00E96E43">
      <w:pPr>
        <w:numPr>
          <w:ilvl w:val="3"/>
          <w:numId w:val="13"/>
        </w:numPr>
        <w:spacing w:after="120"/>
      </w:pPr>
      <w:r w:rsidRPr="003A226E">
        <w:t>In person,</w:t>
      </w:r>
    </w:p>
    <w:p w:rsidR="00E96E43" w:rsidRPr="003A226E" w:rsidRDefault="00E96E43">
      <w:pPr>
        <w:numPr>
          <w:ilvl w:val="3"/>
          <w:numId w:val="13"/>
        </w:numPr>
        <w:spacing w:after="120"/>
      </w:pPr>
      <w:r w:rsidRPr="003A226E">
        <w:t>By telephone,</w:t>
      </w:r>
    </w:p>
    <w:p w:rsidR="00E96E43" w:rsidRPr="003A226E" w:rsidRDefault="00E96E43">
      <w:pPr>
        <w:numPr>
          <w:ilvl w:val="3"/>
          <w:numId w:val="13"/>
        </w:numPr>
        <w:spacing w:after="120"/>
      </w:pPr>
      <w:r w:rsidRPr="003A226E">
        <w:t>By letter,</w:t>
      </w:r>
    </w:p>
    <w:p w:rsidR="00E96E43" w:rsidRPr="003A226E" w:rsidRDefault="00E96E43">
      <w:pPr>
        <w:numPr>
          <w:ilvl w:val="3"/>
          <w:numId w:val="13"/>
        </w:numPr>
        <w:spacing w:after="120"/>
      </w:pPr>
      <w:r w:rsidRPr="003A226E">
        <w:t>Email</w:t>
      </w:r>
    </w:p>
    <w:p w:rsidR="00E96E43" w:rsidRPr="003A226E" w:rsidRDefault="00E96E43">
      <w:pPr>
        <w:numPr>
          <w:ilvl w:val="1"/>
          <w:numId w:val="13"/>
        </w:numPr>
        <w:spacing w:after="120"/>
      </w:pPr>
      <w:r w:rsidRPr="009810C5">
        <w:rPr>
          <w:color w:val="00B050"/>
        </w:rPr>
        <w:t>Informational public brochure:  The agency has developed an informational public brochure to inform members of the community how to provide the Department with commendations, agency suggestions, dissatisfaction with the agency, or a complaint alleging employee misconduct.</w:t>
      </w:r>
      <w:r w:rsidRPr="003A226E">
        <w:t xml:space="preserve"> (see </w:t>
      </w:r>
      <w:r w:rsidR="00431E4A" w:rsidRPr="003A226E">
        <w:t>attachment) These</w:t>
      </w:r>
      <w:r w:rsidRPr="003A226E">
        <w:t xml:space="preserve"> brochures will </w:t>
      </w:r>
      <w:proofErr w:type="gramStart"/>
      <w:r w:rsidRPr="003A226E">
        <w:t>be maintained</w:t>
      </w:r>
      <w:proofErr w:type="gramEnd"/>
      <w:r w:rsidRPr="003A226E">
        <w:t xml:space="preserve"> in all police facility lobbies, police informational desks, shift supervisor desks, and jail/booking supervisor desks.</w:t>
      </w:r>
    </w:p>
    <w:p w:rsidR="00E96E43" w:rsidRPr="003A226E" w:rsidRDefault="00E96E43">
      <w:pPr>
        <w:numPr>
          <w:ilvl w:val="1"/>
          <w:numId w:val="13"/>
        </w:numPr>
        <w:spacing w:after="120"/>
      </w:pPr>
      <w:r w:rsidRPr="003A226E">
        <w:t>Police employee responsibilities:  Whenever a police employee becomes aware of a citizen’s complaint meeting the above complaint definition or becomes aware of misconduct of another police employee, s/he shall:</w:t>
      </w:r>
    </w:p>
    <w:p w:rsidR="00E96E43" w:rsidRPr="003A226E" w:rsidRDefault="00E96E43">
      <w:pPr>
        <w:numPr>
          <w:ilvl w:val="3"/>
          <w:numId w:val="13"/>
        </w:numPr>
        <w:spacing w:after="120"/>
      </w:pPr>
      <w:r w:rsidRPr="003A226E">
        <w:t xml:space="preserve">Immediately notify an on-duty supervisor and ensure that follow-up to the complaining person will not </w:t>
      </w:r>
      <w:proofErr w:type="gramStart"/>
      <w:r w:rsidRPr="003A226E">
        <w:t>be delayed</w:t>
      </w:r>
      <w:proofErr w:type="gramEnd"/>
    </w:p>
    <w:p w:rsidR="00E96E43" w:rsidRPr="003A226E" w:rsidRDefault="00E96E43">
      <w:pPr>
        <w:numPr>
          <w:ilvl w:val="3"/>
          <w:numId w:val="13"/>
        </w:numPr>
        <w:spacing w:after="120"/>
      </w:pPr>
      <w:r w:rsidRPr="003A226E">
        <w:lastRenderedPageBreak/>
        <w:t xml:space="preserve">If a supervisor cannot </w:t>
      </w:r>
      <w:proofErr w:type="gramStart"/>
      <w:r w:rsidRPr="003A226E">
        <w:t>be made</w:t>
      </w:r>
      <w:proofErr w:type="gramEnd"/>
      <w:r w:rsidRPr="003A226E">
        <w:t xml:space="preserve"> available or the party making the complaint refuses to wait for the supervisor, the employee will gather all available information regarding the complaint and contact numbers</w:t>
      </w:r>
    </w:p>
    <w:p w:rsidR="00E96E43" w:rsidRPr="003A226E" w:rsidRDefault="00E96E43">
      <w:pPr>
        <w:numPr>
          <w:ilvl w:val="3"/>
          <w:numId w:val="13"/>
        </w:numPr>
        <w:spacing w:after="120"/>
      </w:pPr>
      <w:r w:rsidRPr="003A226E">
        <w:t xml:space="preserve">The employee shall ensure that this information </w:t>
      </w:r>
      <w:proofErr w:type="gramStart"/>
      <w:r w:rsidRPr="003A226E">
        <w:t>is given</w:t>
      </w:r>
      <w:proofErr w:type="gramEnd"/>
      <w:r w:rsidRPr="003A226E">
        <w:t xml:space="preserve"> to a supervisor at the earliest moment during the employee’s duty shift</w:t>
      </w:r>
    </w:p>
    <w:p w:rsidR="00E96E43" w:rsidRPr="003A226E" w:rsidRDefault="00E96E43">
      <w:pPr>
        <w:numPr>
          <w:ilvl w:val="3"/>
          <w:numId w:val="13"/>
        </w:numPr>
        <w:spacing w:after="120"/>
      </w:pPr>
      <w:r w:rsidRPr="003A226E">
        <w:t>Failure to follow these acceptance provisions will result in disciplinary action against the involved employee</w:t>
      </w:r>
    </w:p>
    <w:p w:rsidR="006D66BB" w:rsidRDefault="00E96E43">
      <w:pPr>
        <w:numPr>
          <w:ilvl w:val="1"/>
          <w:numId w:val="13"/>
        </w:numPr>
        <w:spacing w:after="120"/>
        <w:rPr>
          <w:color w:val="00B050"/>
        </w:rPr>
      </w:pPr>
      <w:r w:rsidRPr="003A226E">
        <w:t xml:space="preserve">Supervisor’s responsibilities: </w:t>
      </w:r>
      <w:r w:rsidR="006D66BB" w:rsidRPr="006D66BB">
        <w:rPr>
          <w:color w:val="00B050"/>
        </w:rPr>
        <w:t>Line supervisors may investigate a misunderstanding between a citizen and an employee that breaches a policy of a less serious nature.</w:t>
      </w:r>
    </w:p>
    <w:p w:rsidR="001D239C" w:rsidRPr="006D66BB" w:rsidRDefault="001D239C">
      <w:pPr>
        <w:numPr>
          <w:ilvl w:val="1"/>
          <w:numId w:val="13"/>
        </w:numPr>
        <w:spacing w:after="120"/>
        <w:rPr>
          <w:color w:val="00B050"/>
        </w:rPr>
      </w:pPr>
      <w:r w:rsidRPr="001D239C">
        <w:rPr>
          <w:color w:val="00B050"/>
        </w:rPr>
        <w:t xml:space="preserve">An employee may </w:t>
      </w:r>
      <w:proofErr w:type="gramStart"/>
      <w:r w:rsidRPr="001D239C">
        <w:rPr>
          <w:color w:val="00B050"/>
        </w:rPr>
        <w:t>be relieved</w:t>
      </w:r>
      <w:proofErr w:type="gramEnd"/>
      <w:r w:rsidRPr="001D239C">
        <w:rPr>
          <w:color w:val="00B050"/>
        </w:rPr>
        <w:t xml:space="preserve"> from duty on a temporary basis by any superior in a position to observe or be reliably informed of conduct or behavior that is serious enough to warrant immediate action. The agency head will </w:t>
      </w:r>
      <w:proofErr w:type="gramStart"/>
      <w:r w:rsidRPr="001D239C">
        <w:rPr>
          <w:color w:val="00B050"/>
        </w:rPr>
        <w:t>be notified</w:t>
      </w:r>
      <w:proofErr w:type="gramEnd"/>
      <w:r w:rsidRPr="001D239C">
        <w:rPr>
          <w:color w:val="00B050"/>
        </w:rPr>
        <w:t xml:space="preserve"> immediately if such action is taken.</w:t>
      </w:r>
    </w:p>
    <w:p w:rsidR="00E96E43" w:rsidRPr="003A226E" w:rsidRDefault="00E96E43">
      <w:pPr>
        <w:numPr>
          <w:ilvl w:val="1"/>
          <w:numId w:val="13"/>
        </w:numPr>
        <w:spacing w:after="120"/>
      </w:pPr>
      <w:r w:rsidRPr="003A226E">
        <w:t>Whenever a supervisor becomes aware of a person requesting to make a complaint or an incident which will likely result in a complaint or administrative investigation, the supervisor shall conduct an immediate preliminary investigation including:</w:t>
      </w:r>
    </w:p>
    <w:p w:rsidR="00E96E43" w:rsidRPr="003A226E" w:rsidRDefault="00E96E43">
      <w:pPr>
        <w:numPr>
          <w:ilvl w:val="3"/>
          <w:numId w:val="13"/>
        </w:numPr>
        <w:spacing w:after="120"/>
      </w:pPr>
      <w:r w:rsidRPr="003A226E">
        <w:t xml:space="preserve">Conduct a tape-recorded interview with the complaining person attempting to ascertain </w:t>
      </w:r>
      <w:proofErr w:type="gramStart"/>
      <w:r w:rsidRPr="003A226E">
        <w:t>each and every</w:t>
      </w:r>
      <w:proofErr w:type="gramEnd"/>
      <w:r w:rsidRPr="003A226E">
        <w:t xml:space="preserve"> allegation of misconduct alleged.  The complaining person can refuse to </w:t>
      </w:r>
      <w:proofErr w:type="gramStart"/>
      <w:r w:rsidRPr="003A226E">
        <w:t>be tape-recorded</w:t>
      </w:r>
      <w:proofErr w:type="gramEnd"/>
      <w:r w:rsidRPr="003A226E">
        <w:t xml:space="preserve">.  In these </w:t>
      </w:r>
      <w:r w:rsidR="007847F9" w:rsidRPr="003A226E">
        <w:t>cases,</w:t>
      </w:r>
      <w:r w:rsidRPr="003A226E">
        <w:t xml:space="preserve"> the supervisor shall continue to interview the complainant and note the refusal on the completed </w:t>
      </w:r>
      <w:r w:rsidR="009810C5">
        <w:t xml:space="preserve">Internal Affairs </w:t>
      </w:r>
      <w:r w:rsidRPr="003A226E">
        <w:t>Report.</w:t>
      </w:r>
      <w:r w:rsidR="00A02CC9" w:rsidRPr="003A226E">
        <w:t xml:space="preserve">  </w:t>
      </w:r>
      <w:r w:rsidRPr="003A226E">
        <w:t xml:space="preserve">Should the allegations not amount to a complaint consistent with the agency definition of a complaint, the supervisor will advise the party that his/her dissatisfaction will </w:t>
      </w:r>
      <w:proofErr w:type="gramStart"/>
      <w:r w:rsidRPr="003A226E">
        <w:t>be recorded</w:t>
      </w:r>
      <w:proofErr w:type="gramEnd"/>
      <w:r w:rsidRPr="003A226E">
        <w:t xml:space="preserve"> and forwarded for agency review,</w:t>
      </w:r>
    </w:p>
    <w:p w:rsidR="00E96E43" w:rsidRPr="003A226E" w:rsidRDefault="00E96E43">
      <w:pPr>
        <w:numPr>
          <w:ilvl w:val="3"/>
          <w:numId w:val="13"/>
        </w:numPr>
        <w:spacing w:after="120"/>
      </w:pPr>
      <w:r w:rsidRPr="003A226E">
        <w:t>The supervisor accepting the complaint, or if the incident is an occurrence likely to result in a complaint or administrative investigation and no specific complaining person is present, the supervisor shall respond to the scene of the police encounter/incident and:</w:t>
      </w:r>
    </w:p>
    <w:p w:rsidR="00E96E43" w:rsidRPr="003A226E" w:rsidRDefault="00E96E43">
      <w:pPr>
        <w:numPr>
          <w:ilvl w:val="4"/>
          <w:numId w:val="13"/>
        </w:numPr>
        <w:spacing w:after="120"/>
      </w:pPr>
      <w:r w:rsidRPr="003A226E">
        <w:t>Determine the identity of persons involved, witnesses, other police agency’s personnel and agency employees,</w:t>
      </w:r>
    </w:p>
    <w:p w:rsidR="00E96E43" w:rsidRPr="003A226E" w:rsidRDefault="00E96E43">
      <w:pPr>
        <w:numPr>
          <w:ilvl w:val="4"/>
          <w:numId w:val="13"/>
        </w:numPr>
        <w:spacing w:after="120"/>
      </w:pPr>
      <w:r w:rsidRPr="003A226E">
        <w:t xml:space="preserve">Ensure that proper evidence </w:t>
      </w:r>
      <w:proofErr w:type="gramStart"/>
      <w:r w:rsidRPr="003A226E">
        <w:t>is collected</w:t>
      </w:r>
      <w:proofErr w:type="gramEnd"/>
      <w:r w:rsidRPr="003A226E">
        <w:t xml:space="preserve"> and/or documented.</w:t>
      </w:r>
    </w:p>
    <w:p w:rsidR="00E96E43" w:rsidRPr="003A226E" w:rsidRDefault="00E96E43">
      <w:pPr>
        <w:numPr>
          <w:ilvl w:val="4"/>
          <w:numId w:val="13"/>
        </w:numPr>
        <w:spacing w:after="120"/>
      </w:pPr>
      <w:r w:rsidRPr="003A226E">
        <w:t xml:space="preserve">Ensure that all reasonable documentation and physical evidence </w:t>
      </w:r>
      <w:proofErr w:type="gramStart"/>
      <w:r w:rsidRPr="003A226E">
        <w:t>is maintained</w:t>
      </w:r>
      <w:proofErr w:type="gramEnd"/>
      <w:r w:rsidRPr="003A226E">
        <w:t xml:space="preserve">.  This includes police reports, communications/dispatch information, </w:t>
      </w:r>
      <w:smartTag w:uri="urn:schemas-microsoft-com:office:smarttags" w:element="stockticker">
        <w:r w:rsidRPr="003A226E">
          <w:t>MDT</w:t>
        </w:r>
      </w:smartTag>
      <w:r w:rsidRPr="003A226E">
        <w:t xml:space="preserve"> transmissions, medical documentation, and video recording of any portion of the police involvement,</w:t>
      </w:r>
    </w:p>
    <w:p w:rsidR="00E96E43" w:rsidRPr="003A226E" w:rsidRDefault="00E96E43">
      <w:pPr>
        <w:numPr>
          <w:ilvl w:val="4"/>
          <w:numId w:val="13"/>
        </w:numPr>
        <w:spacing w:after="120"/>
      </w:pPr>
      <w:r w:rsidRPr="003A226E">
        <w:t>Ensure that all necessary medical treatment is provided and documentation is preserved,</w:t>
      </w:r>
    </w:p>
    <w:p w:rsidR="00E96E43" w:rsidRPr="003A226E" w:rsidRDefault="00E96E43">
      <w:pPr>
        <w:numPr>
          <w:ilvl w:val="4"/>
          <w:numId w:val="13"/>
        </w:numPr>
        <w:spacing w:after="120"/>
      </w:pPr>
      <w:r w:rsidRPr="003A226E">
        <w:t>Prepare the Public Service Report and obtain a PSR number,</w:t>
      </w:r>
    </w:p>
    <w:p w:rsidR="00E96E43" w:rsidRPr="003A226E" w:rsidRDefault="00E96E43">
      <w:pPr>
        <w:numPr>
          <w:ilvl w:val="4"/>
          <w:numId w:val="13"/>
        </w:numPr>
        <w:spacing w:after="120"/>
      </w:pPr>
      <w:r w:rsidRPr="003A226E">
        <w:t>Notify all persons consistent with the specifics of the incident.</w:t>
      </w:r>
    </w:p>
    <w:p w:rsidR="00E96E43" w:rsidRPr="003A226E" w:rsidRDefault="00E96E43">
      <w:pPr>
        <w:numPr>
          <w:ilvl w:val="1"/>
          <w:numId w:val="13"/>
        </w:numPr>
        <w:spacing w:after="120"/>
      </w:pPr>
      <w:r w:rsidRPr="003A226E">
        <w:t>The complaint initiation process is not incumbent on cooperation of the complaining person.  In the event that the complaining person refuses to cooperate with the investigation or there is no identifiable complainant and the information known to the supervisor satisfies the agency’s definition of a complaint, the complainant will be listed as Agency.</w:t>
      </w:r>
    </w:p>
    <w:p w:rsidR="00E96E43" w:rsidRPr="003A226E" w:rsidRDefault="00E96E43">
      <w:pPr>
        <w:numPr>
          <w:ilvl w:val="1"/>
          <w:numId w:val="13"/>
        </w:numPr>
        <w:spacing w:after="120"/>
      </w:pPr>
      <w:r w:rsidRPr="003A226E">
        <w:t xml:space="preserve">Classification of complaints:  Complaints and administrative investigations will be classified by the agency and assigned specific numbering (employee misconduct, internal, risk </w:t>
      </w:r>
      <w:r w:rsidRPr="003A226E">
        <w:lastRenderedPageBreak/>
        <w:t>management, traffic accident, critical incident and non-complaint).  The agency will maintain specific investigative and reporting protocols for each classification of complaint.</w:t>
      </w:r>
    </w:p>
    <w:p w:rsidR="00E96E43" w:rsidRPr="001D4B02" w:rsidRDefault="00E96E43">
      <w:pPr>
        <w:numPr>
          <w:ilvl w:val="1"/>
          <w:numId w:val="13"/>
        </w:numPr>
        <w:spacing w:after="120"/>
        <w:rPr>
          <w:color w:val="00B050"/>
        </w:rPr>
      </w:pPr>
      <w:r w:rsidRPr="003A226E">
        <w:t>Processing the complaint:  It is the responsibility of the IA/OPS unit/person to process the complaint for investigation.</w:t>
      </w:r>
      <w:r w:rsidR="001D4B02">
        <w:t xml:space="preserve"> </w:t>
      </w:r>
      <w:r w:rsidR="001D4B02" w:rsidRPr="001D4B02">
        <w:rPr>
          <w:color w:val="00B050"/>
        </w:rPr>
        <w:t>An internal investigation is required following any allegation serious enough to result in suspension, demotion, or termination of an employee.</w:t>
      </w:r>
    </w:p>
    <w:p w:rsidR="00E96E43" w:rsidRPr="003A226E" w:rsidRDefault="00E96E43">
      <w:pPr>
        <w:numPr>
          <w:ilvl w:val="2"/>
          <w:numId w:val="13"/>
        </w:numPr>
        <w:spacing w:after="120"/>
      </w:pPr>
      <w:r w:rsidRPr="003A226E">
        <w:t>Assign the complaint the appropriate control number</w:t>
      </w:r>
    </w:p>
    <w:p w:rsidR="00E96E43" w:rsidRPr="003A226E" w:rsidRDefault="00E96E43">
      <w:pPr>
        <w:numPr>
          <w:ilvl w:val="2"/>
          <w:numId w:val="13"/>
        </w:numPr>
        <w:spacing w:after="120"/>
      </w:pPr>
      <w:r w:rsidRPr="003A226E">
        <w:t>Log the complaint into the record management system</w:t>
      </w:r>
    </w:p>
    <w:p w:rsidR="001D239C" w:rsidRPr="003A226E" w:rsidRDefault="00E96E43" w:rsidP="001D239C">
      <w:pPr>
        <w:numPr>
          <w:ilvl w:val="2"/>
          <w:numId w:val="13"/>
        </w:numPr>
        <w:spacing w:after="120"/>
      </w:pPr>
      <w:r w:rsidRPr="003A226E">
        <w:t>Ensure that the complainant receives a letter notifying that the complaint has been received and will be assigned for investigation</w:t>
      </w:r>
      <w:r w:rsidR="001D239C">
        <w:t xml:space="preserve">. </w:t>
      </w:r>
    </w:p>
    <w:p w:rsidR="00E96E43" w:rsidRDefault="00E96E43">
      <w:pPr>
        <w:numPr>
          <w:ilvl w:val="2"/>
          <w:numId w:val="13"/>
        </w:numPr>
        <w:spacing w:after="120"/>
      </w:pPr>
      <w:r w:rsidRPr="003A226E">
        <w:t>Assign the investigation to the appropriate agency employee for investigation</w:t>
      </w:r>
    </w:p>
    <w:p w:rsidR="001D239C" w:rsidRPr="001D239C" w:rsidRDefault="001D239C">
      <w:pPr>
        <w:numPr>
          <w:ilvl w:val="2"/>
          <w:numId w:val="13"/>
        </w:numPr>
        <w:spacing w:after="120"/>
        <w:rPr>
          <w:color w:val="00B050"/>
        </w:rPr>
      </w:pPr>
      <w:r w:rsidRPr="001D239C">
        <w:rPr>
          <w:color w:val="00B050"/>
        </w:rPr>
        <w:t>Complainants shall be kept informed throughout the process to include; receipt of complaint, updates, and results of the investigation.</w:t>
      </w:r>
    </w:p>
    <w:p w:rsidR="00E96E43" w:rsidRPr="006D66BB" w:rsidRDefault="00E96E43">
      <w:pPr>
        <w:numPr>
          <w:ilvl w:val="2"/>
          <w:numId w:val="13"/>
        </w:numPr>
        <w:spacing w:after="120"/>
        <w:rPr>
          <w:color w:val="00B050"/>
        </w:rPr>
      </w:pPr>
      <w:r w:rsidRPr="006D66BB">
        <w:rPr>
          <w:color w:val="00B050"/>
        </w:rPr>
        <w:t xml:space="preserve">Assign the investigation a due date for completion within </w:t>
      </w:r>
      <w:r w:rsidR="006D66BB" w:rsidRPr="006D66BB">
        <w:rPr>
          <w:color w:val="00B050"/>
        </w:rPr>
        <w:t>45</w:t>
      </w:r>
      <w:r w:rsidRPr="006D66BB">
        <w:rPr>
          <w:color w:val="00B050"/>
        </w:rPr>
        <w:t xml:space="preserve"> days</w:t>
      </w:r>
      <w:r w:rsidRPr="003A226E">
        <w:t xml:space="preserve">.  </w:t>
      </w:r>
      <w:r w:rsidRPr="006D66BB">
        <w:rPr>
          <w:color w:val="00B050"/>
        </w:rPr>
        <w:t>Extensions of this due date must be submitted in writing for approval by the person in charge of the IA/OPS process and made part of the final investigative report.</w:t>
      </w:r>
    </w:p>
    <w:p w:rsidR="00E96E43" w:rsidRPr="003A226E" w:rsidRDefault="00E96E43">
      <w:pPr>
        <w:numPr>
          <w:ilvl w:val="1"/>
          <w:numId w:val="13"/>
        </w:numPr>
        <w:spacing w:after="120"/>
      </w:pPr>
      <w:r w:rsidRPr="003A226E">
        <w:t>Investigative procedures:</w:t>
      </w:r>
    </w:p>
    <w:p w:rsidR="00E96E43" w:rsidRPr="003A226E" w:rsidRDefault="00E96E43">
      <w:pPr>
        <w:numPr>
          <w:ilvl w:val="2"/>
          <w:numId w:val="13"/>
        </w:numPr>
        <w:spacing w:after="120"/>
      </w:pPr>
      <w:r w:rsidRPr="003A226E">
        <w:t>The employee assigned to conduct the administrative investigation shall:</w:t>
      </w:r>
    </w:p>
    <w:p w:rsidR="00E96E43" w:rsidRPr="003A226E" w:rsidRDefault="00E96E43">
      <w:pPr>
        <w:numPr>
          <w:ilvl w:val="3"/>
          <w:numId w:val="13"/>
        </w:numPr>
        <w:spacing w:after="120"/>
      </w:pPr>
      <w:r w:rsidRPr="003A226E">
        <w:t>Evaluate the allegations contained in the Public Service Report, listen to the tape recording of the complainant, if available, and consult with the person accepting the complaint or learning of the allegation(s)</w:t>
      </w:r>
    </w:p>
    <w:p w:rsidR="00E96E43" w:rsidRPr="003A226E" w:rsidRDefault="00E96E43">
      <w:pPr>
        <w:numPr>
          <w:ilvl w:val="3"/>
          <w:numId w:val="13"/>
        </w:numPr>
        <w:spacing w:after="120"/>
      </w:pPr>
      <w:r w:rsidRPr="003A226E">
        <w:t xml:space="preserve">Obtain all police reports, communications/dispatch records, </w:t>
      </w:r>
      <w:smartTag w:uri="urn:schemas-microsoft-com:office:smarttags" w:element="stockticker">
        <w:r w:rsidRPr="003A226E">
          <w:t>MDT</w:t>
        </w:r>
      </w:smartTag>
      <w:r w:rsidRPr="003A226E">
        <w:t xml:space="preserve"> transmissions, video recordings, and other police documents</w:t>
      </w:r>
    </w:p>
    <w:p w:rsidR="00E96E43" w:rsidRPr="003A226E" w:rsidRDefault="00E96E43">
      <w:pPr>
        <w:numPr>
          <w:ilvl w:val="3"/>
          <w:numId w:val="13"/>
        </w:numPr>
        <w:spacing w:after="120"/>
      </w:pPr>
      <w:r w:rsidRPr="003A226E">
        <w:t>Determine the specific allegations of the complainant and identify any other possible agency violations, whether alleged by the complainant or not</w:t>
      </w:r>
    </w:p>
    <w:p w:rsidR="00E96E43" w:rsidRPr="003A226E" w:rsidRDefault="00E96E43">
      <w:pPr>
        <w:numPr>
          <w:ilvl w:val="3"/>
          <w:numId w:val="13"/>
        </w:numPr>
        <w:spacing w:after="120"/>
      </w:pPr>
      <w:r w:rsidRPr="003A226E">
        <w:t>Conduct interview normally in the following sequence:</w:t>
      </w:r>
    </w:p>
    <w:p w:rsidR="00E96E43" w:rsidRPr="003A226E" w:rsidRDefault="00E96E43">
      <w:pPr>
        <w:numPr>
          <w:ilvl w:val="4"/>
          <w:numId w:val="13"/>
        </w:numPr>
        <w:spacing w:after="120"/>
      </w:pPr>
      <w:r w:rsidRPr="003A226E">
        <w:t>Complaining person</w:t>
      </w:r>
    </w:p>
    <w:p w:rsidR="00E96E43" w:rsidRPr="003A226E" w:rsidRDefault="00E96E43">
      <w:pPr>
        <w:numPr>
          <w:ilvl w:val="4"/>
          <w:numId w:val="13"/>
        </w:numPr>
        <w:spacing w:after="120"/>
      </w:pPr>
      <w:r w:rsidRPr="003A226E">
        <w:t>Other public witnesses</w:t>
      </w:r>
    </w:p>
    <w:p w:rsidR="00E96E43" w:rsidRPr="003A226E" w:rsidRDefault="00E96E43">
      <w:pPr>
        <w:numPr>
          <w:ilvl w:val="4"/>
          <w:numId w:val="13"/>
        </w:numPr>
        <w:spacing w:after="120"/>
      </w:pPr>
      <w:r w:rsidRPr="003A226E">
        <w:t>Agency witnesses</w:t>
      </w:r>
    </w:p>
    <w:p w:rsidR="00B96167" w:rsidRDefault="00B96167" w:rsidP="003A226E">
      <w:pPr>
        <w:numPr>
          <w:ilvl w:val="4"/>
          <w:numId w:val="13"/>
        </w:numPr>
        <w:rPr>
          <w:color w:val="00B050"/>
        </w:rPr>
      </w:pPr>
      <w:r w:rsidRPr="00EA20A6">
        <w:rPr>
          <w:color w:val="00B050"/>
        </w:rPr>
        <w:t xml:space="preserve">Accused employees; officers shall be given written notice of intended interview regarding allegations and, normally be allowed a reasonable period of time prior to the actual interview.  The constitutional rights of the accused employee shall be respected to include Miranda warnings and Garrity warnings where appropriate. </w:t>
      </w:r>
    </w:p>
    <w:p w:rsidR="00FE6D11" w:rsidRDefault="00FE6D11" w:rsidP="00FE6D11">
      <w:pPr>
        <w:ind w:left="1872"/>
        <w:rPr>
          <w:color w:val="00B050"/>
        </w:rPr>
      </w:pPr>
    </w:p>
    <w:p w:rsidR="00FE6D11" w:rsidRPr="00FE6D11" w:rsidRDefault="00FE6D11" w:rsidP="00FE6D11">
      <w:pPr>
        <w:numPr>
          <w:ilvl w:val="3"/>
          <w:numId w:val="13"/>
        </w:numPr>
        <w:rPr>
          <w:color w:val="00B050"/>
        </w:rPr>
      </w:pPr>
      <w:r>
        <w:rPr>
          <w:color w:val="00B050"/>
        </w:rPr>
        <w:t xml:space="preserve">The investigator shall give the employee </w:t>
      </w:r>
      <w:r w:rsidRPr="00FE6D11">
        <w:rPr>
          <w:color w:val="00B050"/>
        </w:rPr>
        <w:t>written notice of any complaints against them, their rights, and the results of the investigation.</w:t>
      </w:r>
    </w:p>
    <w:p w:rsidR="00EA20A6" w:rsidRDefault="00EA20A6" w:rsidP="00EA20A6">
      <w:pPr>
        <w:ind w:left="1872"/>
        <w:rPr>
          <w:color w:val="00B050"/>
        </w:rPr>
      </w:pPr>
    </w:p>
    <w:p w:rsidR="00EA20A6" w:rsidRDefault="00EA20A6" w:rsidP="00EA20A6">
      <w:pPr>
        <w:numPr>
          <w:ilvl w:val="2"/>
          <w:numId w:val="13"/>
        </w:numPr>
        <w:rPr>
          <w:color w:val="00B050"/>
        </w:rPr>
      </w:pPr>
      <w:r w:rsidRPr="00EA20A6">
        <w:rPr>
          <w:color w:val="00B050"/>
        </w:rPr>
        <w:t>The agency head may require an employee to submit to any of the following test or disclosure.</w:t>
      </w:r>
    </w:p>
    <w:p w:rsidR="00EA20A6" w:rsidRPr="00EA20A6" w:rsidRDefault="00EA20A6" w:rsidP="00EA20A6">
      <w:pPr>
        <w:ind w:left="1152"/>
        <w:rPr>
          <w:color w:val="00B050"/>
        </w:rPr>
      </w:pPr>
    </w:p>
    <w:p w:rsidR="00EA20A6" w:rsidRDefault="00EA20A6" w:rsidP="00EA20A6">
      <w:pPr>
        <w:numPr>
          <w:ilvl w:val="3"/>
          <w:numId w:val="13"/>
        </w:numPr>
        <w:rPr>
          <w:color w:val="00B050"/>
        </w:rPr>
      </w:pPr>
      <w:r w:rsidRPr="00EA20A6">
        <w:rPr>
          <w:color w:val="00B050"/>
        </w:rPr>
        <w:t>Medical or laboratory examination of the employee, to include chemical tests such as blood, breath, and urine.</w:t>
      </w:r>
    </w:p>
    <w:p w:rsidR="00EA20A6" w:rsidRPr="00EA20A6" w:rsidRDefault="00EA20A6" w:rsidP="00EA20A6">
      <w:pPr>
        <w:ind w:left="1440"/>
        <w:rPr>
          <w:color w:val="00B050"/>
        </w:rPr>
      </w:pPr>
    </w:p>
    <w:p w:rsidR="00EA20A6" w:rsidRDefault="00EA20A6" w:rsidP="00EA20A6">
      <w:pPr>
        <w:numPr>
          <w:ilvl w:val="3"/>
          <w:numId w:val="13"/>
        </w:numPr>
        <w:rPr>
          <w:color w:val="00B050"/>
        </w:rPr>
      </w:pPr>
      <w:r w:rsidRPr="00EA20A6">
        <w:rPr>
          <w:color w:val="00B050"/>
        </w:rPr>
        <w:t>Photographs of the employee</w:t>
      </w:r>
    </w:p>
    <w:p w:rsidR="00EA20A6" w:rsidRPr="00EA20A6" w:rsidRDefault="00EA20A6" w:rsidP="00EA20A6">
      <w:pPr>
        <w:rPr>
          <w:color w:val="00B050"/>
        </w:rPr>
      </w:pPr>
    </w:p>
    <w:p w:rsidR="00EA20A6" w:rsidRDefault="00EA20A6" w:rsidP="00EA20A6">
      <w:pPr>
        <w:numPr>
          <w:ilvl w:val="3"/>
          <w:numId w:val="13"/>
        </w:numPr>
        <w:rPr>
          <w:color w:val="00B050"/>
        </w:rPr>
      </w:pPr>
      <w:r w:rsidRPr="00EA20A6">
        <w:rPr>
          <w:color w:val="00B050"/>
        </w:rPr>
        <w:t>Audio or video recording</w:t>
      </w:r>
    </w:p>
    <w:p w:rsidR="00EA20A6" w:rsidRPr="00EA20A6" w:rsidRDefault="00EA20A6" w:rsidP="00EA20A6">
      <w:pPr>
        <w:rPr>
          <w:color w:val="00B050"/>
        </w:rPr>
      </w:pPr>
    </w:p>
    <w:p w:rsidR="00EA20A6" w:rsidRDefault="00EA20A6" w:rsidP="00EA20A6">
      <w:pPr>
        <w:numPr>
          <w:ilvl w:val="3"/>
          <w:numId w:val="13"/>
        </w:numPr>
        <w:rPr>
          <w:color w:val="00B050"/>
        </w:rPr>
      </w:pPr>
      <w:r w:rsidRPr="00EA20A6">
        <w:rPr>
          <w:color w:val="00B050"/>
        </w:rPr>
        <w:t>Participation in a line-up</w:t>
      </w:r>
    </w:p>
    <w:p w:rsidR="00EA20A6" w:rsidRPr="00EA20A6" w:rsidRDefault="00EA20A6" w:rsidP="00EA20A6">
      <w:pPr>
        <w:rPr>
          <w:color w:val="00B050"/>
        </w:rPr>
      </w:pPr>
    </w:p>
    <w:p w:rsidR="00EA20A6" w:rsidRDefault="00EA20A6" w:rsidP="00EA20A6">
      <w:pPr>
        <w:numPr>
          <w:ilvl w:val="3"/>
          <w:numId w:val="13"/>
        </w:numPr>
        <w:rPr>
          <w:color w:val="00B050"/>
        </w:rPr>
      </w:pPr>
      <w:r w:rsidRPr="00EA20A6">
        <w:rPr>
          <w:color w:val="00B050"/>
        </w:rPr>
        <w:t>Financial disclosure statements</w:t>
      </w:r>
    </w:p>
    <w:p w:rsidR="00EA20A6" w:rsidRPr="00EA20A6" w:rsidRDefault="00EA20A6" w:rsidP="00EA20A6">
      <w:pPr>
        <w:rPr>
          <w:color w:val="00B050"/>
        </w:rPr>
      </w:pPr>
    </w:p>
    <w:p w:rsidR="00EA20A6" w:rsidRDefault="00EA20A6" w:rsidP="00EA20A6">
      <w:pPr>
        <w:numPr>
          <w:ilvl w:val="3"/>
          <w:numId w:val="13"/>
        </w:numPr>
        <w:rPr>
          <w:color w:val="00B050"/>
        </w:rPr>
      </w:pPr>
      <w:r w:rsidRPr="00EA20A6">
        <w:rPr>
          <w:color w:val="00B050"/>
        </w:rPr>
        <w:t>Polygraph examination, in accordance with the Garrity decision of the U.S. Supreme Court</w:t>
      </w:r>
    </w:p>
    <w:p w:rsidR="001D239C" w:rsidRPr="00EA20A6" w:rsidRDefault="001D239C" w:rsidP="001D239C">
      <w:pPr>
        <w:rPr>
          <w:color w:val="00B050"/>
        </w:rPr>
      </w:pPr>
    </w:p>
    <w:p w:rsidR="00E96E43" w:rsidRPr="003A226E" w:rsidRDefault="00E96E43">
      <w:pPr>
        <w:numPr>
          <w:ilvl w:val="1"/>
          <w:numId w:val="13"/>
        </w:numPr>
        <w:spacing w:after="120"/>
      </w:pPr>
      <w:r w:rsidRPr="003A226E">
        <w:t>Disposition:</w:t>
      </w:r>
    </w:p>
    <w:p w:rsidR="001D4B02" w:rsidRDefault="00E96E43">
      <w:pPr>
        <w:numPr>
          <w:ilvl w:val="2"/>
          <w:numId w:val="13"/>
        </w:numPr>
        <w:spacing w:after="120"/>
      </w:pPr>
      <w:r w:rsidRPr="003A226E">
        <w:t>The investigating person will prepare the investigative report</w:t>
      </w:r>
      <w:r w:rsidR="001D4B02">
        <w:rPr>
          <w:color w:val="000000"/>
          <w:sz w:val="27"/>
          <w:szCs w:val="27"/>
        </w:rPr>
        <w:t xml:space="preserve">. </w:t>
      </w:r>
      <w:r w:rsidR="001D4B02" w:rsidRPr="001D4B02">
        <w:rPr>
          <w:color w:val="00B050"/>
        </w:rPr>
        <w:t>The investigator shall report all pertinent matters involving professional responsibility directly to the agency head</w:t>
      </w:r>
      <w:r w:rsidR="001D4B02" w:rsidRPr="001D4B02">
        <w:t>.</w:t>
      </w:r>
      <w:r w:rsidRPr="003A226E">
        <w:t xml:space="preserve"> </w:t>
      </w:r>
    </w:p>
    <w:p w:rsidR="00E96E43" w:rsidRPr="003A226E" w:rsidRDefault="00E96E43">
      <w:pPr>
        <w:numPr>
          <w:ilvl w:val="2"/>
          <w:numId w:val="13"/>
        </w:numPr>
        <w:spacing w:after="120"/>
      </w:pPr>
      <w:r w:rsidRPr="003A226E">
        <w:t>The investigator is a fact finder only and is not expected to make findings or recommendations.</w:t>
      </w:r>
    </w:p>
    <w:p w:rsidR="00E96E43" w:rsidRPr="003A226E" w:rsidRDefault="00E96E43">
      <w:pPr>
        <w:numPr>
          <w:ilvl w:val="2"/>
          <w:numId w:val="13"/>
        </w:numPr>
        <w:spacing w:after="120"/>
      </w:pPr>
      <w:r w:rsidRPr="003A226E">
        <w:t>The adjudication person will make a recommendation for the disposition findings for each allegation using the following classifications using the burden of proof of a preponderance of the evidence:</w:t>
      </w:r>
    </w:p>
    <w:p w:rsidR="00E96E43" w:rsidRPr="003A226E" w:rsidRDefault="00E96E43">
      <w:pPr>
        <w:numPr>
          <w:ilvl w:val="3"/>
          <w:numId w:val="13"/>
        </w:numPr>
        <w:spacing w:after="120"/>
      </w:pPr>
      <w:r w:rsidRPr="003A226E">
        <w:t>Sustained: there was a preponderance of evidence to prove the allegation</w:t>
      </w:r>
    </w:p>
    <w:p w:rsidR="00E96E43" w:rsidRPr="003A226E" w:rsidRDefault="00E96E43">
      <w:pPr>
        <w:numPr>
          <w:ilvl w:val="3"/>
          <w:numId w:val="13"/>
        </w:numPr>
        <w:spacing w:after="120"/>
      </w:pPr>
      <w:r w:rsidRPr="003A226E">
        <w:t>Not Sustained: there was not sufficient evidence to either prove or disprove the allegation</w:t>
      </w:r>
    </w:p>
    <w:p w:rsidR="00E96E43" w:rsidRPr="003A226E" w:rsidRDefault="00E96E43">
      <w:pPr>
        <w:numPr>
          <w:ilvl w:val="3"/>
          <w:numId w:val="13"/>
        </w:numPr>
        <w:spacing w:after="120"/>
      </w:pPr>
      <w:r w:rsidRPr="003A226E">
        <w:t>Exonerated: the actions of the employee were consistent with the law and Department policies, rules, regulations and practice</w:t>
      </w:r>
    </w:p>
    <w:p w:rsidR="00E96E43" w:rsidRPr="003A226E" w:rsidRDefault="00E96E43">
      <w:pPr>
        <w:numPr>
          <w:ilvl w:val="3"/>
          <w:numId w:val="13"/>
        </w:numPr>
        <w:spacing w:after="120"/>
      </w:pPr>
      <w:r w:rsidRPr="003A226E">
        <w:t>Unfounded: the allegation did not occur</w:t>
      </w:r>
    </w:p>
    <w:p w:rsidR="00E96E43" w:rsidRPr="003A226E" w:rsidRDefault="00E96E43">
      <w:pPr>
        <w:numPr>
          <w:ilvl w:val="3"/>
          <w:numId w:val="13"/>
        </w:numPr>
        <w:spacing w:after="120"/>
      </w:pPr>
      <w:r w:rsidRPr="003A226E">
        <w:t>Policy and/or training deficiency: the allegation occurred but was the fault of deficiencies in Department policy and/or training and cannot be accountable to the employee involved</w:t>
      </w:r>
    </w:p>
    <w:p w:rsidR="00E96E43" w:rsidRPr="00DB0FF4" w:rsidRDefault="00E96E43">
      <w:pPr>
        <w:numPr>
          <w:ilvl w:val="3"/>
          <w:numId w:val="13"/>
        </w:numPr>
        <w:spacing w:after="120"/>
        <w:rPr>
          <w:color w:val="00B050"/>
        </w:rPr>
      </w:pPr>
      <w:r w:rsidRPr="00DB0FF4">
        <w:rPr>
          <w:color w:val="00B050"/>
        </w:rPr>
        <w:t>These disposition recommendations shall be forwarded through IA/OPS or the designated person for review and concurrence.  The final authority for the disposition is the Chief of Police or his designee.  Both IA/OPS and the Chief of Police are responsible to ensure that the investigation and the final recommendation are consistent with the investigation and the practice of the Department.</w:t>
      </w:r>
    </w:p>
    <w:p w:rsidR="00E96E43" w:rsidRPr="003A226E" w:rsidRDefault="00E96E43">
      <w:pPr>
        <w:numPr>
          <w:ilvl w:val="3"/>
          <w:numId w:val="13"/>
        </w:numPr>
        <w:spacing w:after="120"/>
      </w:pPr>
      <w:r w:rsidRPr="003A226E">
        <w:t>When allegations are sustained, the specific charges and processing will be conducted according to the personnel practices of the Department.</w:t>
      </w:r>
    </w:p>
    <w:p w:rsidR="00E96E43" w:rsidRPr="003A226E" w:rsidRDefault="00E96E43">
      <w:pPr>
        <w:numPr>
          <w:ilvl w:val="1"/>
          <w:numId w:val="13"/>
        </w:numPr>
        <w:spacing w:after="120"/>
      </w:pPr>
      <w:r w:rsidRPr="003A226E">
        <w:t>Role of IA/OPS or the designated person</w:t>
      </w:r>
    </w:p>
    <w:p w:rsidR="00E96E43" w:rsidRPr="003A226E" w:rsidRDefault="00E96E43">
      <w:pPr>
        <w:numPr>
          <w:ilvl w:val="2"/>
          <w:numId w:val="13"/>
        </w:numPr>
        <w:spacing w:after="120"/>
      </w:pPr>
      <w:r w:rsidRPr="003A226E">
        <w:t xml:space="preserve">IA/OPS shall prepare the letter to the complainant following the conclusion of the investigation and the disposition of the complaint advising the person that the matter has been resolved.  </w:t>
      </w:r>
    </w:p>
    <w:p w:rsidR="00E96E43" w:rsidRPr="003A226E" w:rsidRDefault="00E96E43">
      <w:pPr>
        <w:numPr>
          <w:ilvl w:val="2"/>
          <w:numId w:val="13"/>
        </w:numPr>
        <w:spacing w:after="120"/>
      </w:pPr>
      <w:r w:rsidRPr="003A226E">
        <w:t>IA/OPS is responsible for the quality control of the complaint and administrative investigation process and shall:</w:t>
      </w:r>
    </w:p>
    <w:p w:rsidR="00E96E43" w:rsidRPr="003A226E" w:rsidRDefault="00E96E43">
      <w:pPr>
        <w:numPr>
          <w:ilvl w:val="3"/>
          <w:numId w:val="13"/>
        </w:numPr>
        <w:spacing w:after="120"/>
      </w:pPr>
      <w:r w:rsidRPr="003A226E">
        <w:lastRenderedPageBreak/>
        <w:t>Review all final complaint investigations to ensure that they are consistent with the practices of the Department</w:t>
      </w:r>
    </w:p>
    <w:p w:rsidR="00E96E43" w:rsidRPr="003A226E" w:rsidRDefault="00E96E43">
      <w:pPr>
        <w:numPr>
          <w:ilvl w:val="3"/>
          <w:numId w:val="13"/>
        </w:numPr>
        <w:spacing w:after="120"/>
      </w:pPr>
      <w:r w:rsidRPr="003A226E">
        <w:t>Maintain records of the process</w:t>
      </w:r>
    </w:p>
    <w:p w:rsidR="00E96E43" w:rsidRPr="00767C16" w:rsidRDefault="00E96E43">
      <w:pPr>
        <w:numPr>
          <w:ilvl w:val="3"/>
          <w:numId w:val="13"/>
        </w:numPr>
        <w:spacing w:after="120"/>
        <w:rPr>
          <w:color w:val="00B050"/>
        </w:rPr>
      </w:pPr>
      <w:r w:rsidRPr="00767C16">
        <w:rPr>
          <w:color w:val="00B050"/>
        </w:rPr>
        <w:t>Maintain the completed investigative and adjudication files in a secure, confidential manner</w:t>
      </w:r>
    </w:p>
    <w:p w:rsidR="00E96E43" w:rsidRPr="003A226E" w:rsidRDefault="00E96E43">
      <w:pPr>
        <w:numPr>
          <w:ilvl w:val="3"/>
          <w:numId w:val="13"/>
        </w:numPr>
        <w:spacing w:after="120"/>
      </w:pPr>
      <w:r w:rsidRPr="003A226E">
        <w:t>Conduct an annual audit of the process</w:t>
      </w:r>
    </w:p>
    <w:p w:rsidR="00E96E43" w:rsidRPr="003A226E" w:rsidRDefault="00E96E43">
      <w:pPr>
        <w:numPr>
          <w:ilvl w:val="3"/>
          <w:numId w:val="13"/>
        </w:numPr>
        <w:spacing w:after="120"/>
      </w:pPr>
      <w:r w:rsidRPr="003A226E">
        <w:t>Maintain statistical documentation regarding the process and prepare any overall reports consistent with the directions of the Chief of Police</w:t>
      </w:r>
    </w:p>
    <w:p w:rsidR="00E96E43" w:rsidRPr="003A226E" w:rsidRDefault="00E96E43">
      <w:pPr>
        <w:numPr>
          <w:ilvl w:val="3"/>
          <w:numId w:val="13"/>
        </w:numPr>
        <w:spacing w:after="120"/>
      </w:pPr>
      <w:r w:rsidRPr="003A226E">
        <w:t>Alert the Department to any noticeable trends requiring that may require specific supervisory direction, policy review or training evaluation.</w:t>
      </w:r>
    </w:p>
    <w:p w:rsidR="00E96E43" w:rsidRPr="003A226E" w:rsidRDefault="00E96E43">
      <w:pPr>
        <w:numPr>
          <w:ilvl w:val="1"/>
          <w:numId w:val="13"/>
        </w:numPr>
        <w:spacing w:after="120"/>
      </w:pPr>
      <w:r w:rsidRPr="003A226E">
        <w:t>When criminal allegations involving a member of the agency are identified the chief of police and internal affairs shall be notified immediately:</w:t>
      </w:r>
    </w:p>
    <w:p w:rsidR="001D4B02" w:rsidRDefault="001D4B02">
      <w:pPr>
        <w:numPr>
          <w:ilvl w:val="2"/>
          <w:numId w:val="13"/>
        </w:numPr>
        <w:spacing w:after="120"/>
        <w:rPr>
          <w:color w:val="00B050"/>
        </w:rPr>
      </w:pPr>
      <w:r w:rsidRPr="001D4B02">
        <w:rPr>
          <w:color w:val="00B050"/>
        </w:rPr>
        <w:t>When information obtained during an investigation indicates that the officer may have committed a criminal violation, investigators shall advise the agency head as soon as possible. If sufficient facts have been developed indicating a probable criminal violation, the matter should be discussed with the appropriate solicitor’s office or referred to the appropriate criminal investigative authority.</w:t>
      </w:r>
    </w:p>
    <w:p w:rsidR="001D4B02" w:rsidRDefault="001D4B02">
      <w:pPr>
        <w:numPr>
          <w:ilvl w:val="2"/>
          <w:numId w:val="13"/>
        </w:numPr>
        <w:spacing w:after="120"/>
        <w:rPr>
          <w:color w:val="00B050"/>
        </w:rPr>
      </w:pPr>
      <w:r w:rsidRPr="001D4B02">
        <w:rPr>
          <w:color w:val="00B050"/>
        </w:rPr>
        <w:t>Upon referral for criminal investigation or prosecution, the agency will coordinate any further administrative investigation with the criminal investigation authority to ensure that the administrative action does not jeopardize the criminal investigation or prosecution.</w:t>
      </w:r>
    </w:p>
    <w:p w:rsidR="00EA20A6" w:rsidRDefault="001D4B02">
      <w:pPr>
        <w:numPr>
          <w:ilvl w:val="2"/>
          <w:numId w:val="13"/>
        </w:numPr>
        <w:spacing w:after="120"/>
        <w:rPr>
          <w:color w:val="00B050"/>
        </w:rPr>
      </w:pPr>
      <w:r w:rsidRPr="001D4B02">
        <w:rPr>
          <w:color w:val="00B050"/>
        </w:rPr>
        <w:t>Any allegation of</w:t>
      </w:r>
      <w:r w:rsidR="00EA20A6">
        <w:rPr>
          <w:color w:val="00B050"/>
        </w:rPr>
        <w:t>:</w:t>
      </w:r>
      <w:r w:rsidRPr="001D4B02">
        <w:rPr>
          <w:color w:val="00B050"/>
        </w:rPr>
        <w:t xml:space="preserve"> </w:t>
      </w:r>
    </w:p>
    <w:p w:rsidR="00EA20A6" w:rsidRDefault="001D4B02" w:rsidP="00EA20A6">
      <w:pPr>
        <w:numPr>
          <w:ilvl w:val="3"/>
          <w:numId w:val="13"/>
        </w:numPr>
        <w:spacing w:after="120"/>
        <w:rPr>
          <w:color w:val="00B050"/>
        </w:rPr>
      </w:pPr>
      <w:r w:rsidRPr="001D4B02">
        <w:rPr>
          <w:color w:val="00B050"/>
        </w:rPr>
        <w:t xml:space="preserve">corruption, </w:t>
      </w:r>
    </w:p>
    <w:p w:rsidR="00EA20A6" w:rsidRDefault="001D4B02" w:rsidP="00EA20A6">
      <w:pPr>
        <w:numPr>
          <w:ilvl w:val="3"/>
          <w:numId w:val="13"/>
        </w:numPr>
        <w:spacing w:after="120"/>
        <w:rPr>
          <w:color w:val="00B050"/>
        </w:rPr>
      </w:pPr>
      <w:r w:rsidRPr="001D4B02">
        <w:rPr>
          <w:color w:val="00B050"/>
        </w:rPr>
        <w:t xml:space="preserve">brutality, </w:t>
      </w:r>
    </w:p>
    <w:p w:rsidR="00EA20A6" w:rsidRDefault="001D4B02" w:rsidP="00EA20A6">
      <w:pPr>
        <w:numPr>
          <w:ilvl w:val="3"/>
          <w:numId w:val="13"/>
        </w:numPr>
        <w:spacing w:after="120"/>
        <w:rPr>
          <w:color w:val="00B050"/>
        </w:rPr>
      </w:pPr>
      <w:r w:rsidRPr="001D4B02">
        <w:rPr>
          <w:color w:val="00B050"/>
        </w:rPr>
        <w:t xml:space="preserve">misuse of force, </w:t>
      </w:r>
    </w:p>
    <w:p w:rsidR="00EA20A6" w:rsidRDefault="001D4B02" w:rsidP="00EA20A6">
      <w:pPr>
        <w:numPr>
          <w:ilvl w:val="3"/>
          <w:numId w:val="13"/>
        </w:numPr>
        <w:spacing w:after="120"/>
        <w:rPr>
          <w:color w:val="00B050"/>
        </w:rPr>
      </w:pPr>
      <w:r w:rsidRPr="001D4B02">
        <w:rPr>
          <w:color w:val="00B050"/>
        </w:rPr>
        <w:t xml:space="preserve">breach of civil rights, or </w:t>
      </w:r>
    </w:p>
    <w:p w:rsidR="00EA20A6" w:rsidRDefault="001D4B02" w:rsidP="00EA20A6">
      <w:pPr>
        <w:numPr>
          <w:ilvl w:val="3"/>
          <w:numId w:val="13"/>
        </w:numPr>
        <w:spacing w:after="120"/>
        <w:rPr>
          <w:color w:val="00B050"/>
        </w:rPr>
      </w:pPr>
      <w:r w:rsidRPr="001D4B02">
        <w:rPr>
          <w:color w:val="00B050"/>
        </w:rPr>
        <w:t xml:space="preserve">criminal misconduct </w:t>
      </w:r>
    </w:p>
    <w:p w:rsidR="001D4B02" w:rsidRPr="001D4B02" w:rsidRDefault="001D4B02" w:rsidP="00EA20A6">
      <w:pPr>
        <w:spacing w:after="120"/>
        <w:ind w:left="1080"/>
        <w:rPr>
          <w:color w:val="00B050"/>
        </w:rPr>
      </w:pPr>
      <w:r w:rsidRPr="001D4B02">
        <w:rPr>
          <w:color w:val="00B050"/>
        </w:rPr>
        <w:t>shall be brought immediately to the attention of the agency head. Although the chain of command will normally be used to inform the agency head of complaints against the department or the employee, nothing herein prevents any employee with information about misconduct from reporting to the agency head directly.</w:t>
      </w:r>
    </w:p>
    <w:p w:rsidR="00E96E43" w:rsidRPr="003A226E" w:rsidRDefault="00E96E43">
      <w:pPr>
        <w:numPr>
          <w:ilvl w:val="2"/>
          <w:numId w:val="13"/>
        </w:numPr>
        <w:spacing w:after="120"/>
      </w:pPr>
      <w:r w:rsidRPr="003A226E">
        <w:t>Crime within agency jurisdiction: the appropriate criminal investigation unit will investigate the criminal aspect unless the agency elects to have the investigation conducted by an outside entity. The administrative investigation will be conducted by internal affairs and is not dependent on the conclusion of the criminal investigation. Normally the initiation of a personnel complaint and the start of the administrative investigation will proceed concurrently with the criminal investigation.</w:t>
      </w:r>
    </w:p>
    <w:p w:rsidR="00E96E43" w:rsidRPr="003A226E" w:rsidRDefault="00E96E43">
      <w:pPr>
        <w:numPr>
          <w:ilvl w:val="2"/>
          <w:numId w:val="13"/>
        </w:numPr>
        <w:spacing w:after="120"/>
      </w:pPr>
      <w:r w:rsidRPr="003A226E">
        <w:t>Crime outside agency jurisdiction: Internal Affairs will:</w:t>
      </w:r>
    </w:p>
    <w:p w:rsidR="00E96E43" w:rsidRPr="003A226E" w:rsidRDefault="00E96E43">
      <w:pPr>
        <w:numPr>
          <w:ilvl w:val="3"/>
          <w:numId w:val="13"/>
        </w:numPr>
        <w:spacing w:after="120"/>
      </w:pPr>
      <w:r w:rsidRPr="003A226E">
        <w:t>Develop and maintain liaison with the involved agency and</w:t>
      </w:r>
    </w:p>
    <w:p w:rsidR="00E96E43" w:rsidRPr="003A226E" w:rsidRDefault="00E96E43">
      <w:pPr>
        <w:numPr>
          <w:ilvl w:val="3"/>
          <w:numId w:val="13"/>
        </w:numPr>
        <w:spacing w:after="120"/>
      </w:pPr>
      <w:r w:rsidRPr="003A226E">
        <w:t>Conduct the administrative investigation the same as it would had the incident occurred within this agency’s jurisdiction.</w:t>
      </w:r>
    </w:p>
    <w:p w:rsidR="00BB48A5" w:rsidRPr="003A226E" w:rsidRDefault="00BB48A5" w:rsidP="00BB48A5">
      <w:pPr>
        <w:numPr>
          <w:ilvl w:val="1"/>
          <w:numId w:val="13"/>
        </w:numPr>
        <w:spacing w:after="120"/>
        <w:rPr>
          <w:color w:val="0070C0"/>
        </w:rPr>
      </w:pPr>
      <w:bookmarkStart w:id="2" w:name="_Hlk106356855"/>
      <w:r w:rsidRPr="003A226E">
        <w:rPr>
          <w:b/>
          <w:bCs/>
          <w:color w:val="0070C0"/>
        </w:rPr>
        <w:lastRenderedPageBreak/>
        <w:t>Reporting:</w:t>
      </w:r>
      <w:r w:rsidRPr="003A226E">
        <w:rPr>
          <w:color w:val="0070C0"/>
        </w:rPr>
        <w:t xml:space="preserve"> </w:t>
      </w:r>
    </w:p>
    <w:p w:rsidR="00BB48A5" w:rsidRPr="003A226E" w:rsidRDefault="00BB48A5" w:rsidP="00BB48A5">
      <w:pPr>
        <w:numPr>
          <w:ilvl w:val="2"/>
          <w:numId w:val="13"/>
        </w:numPr>
        <w:spacing w:after="120"/>
        <w:rPr>
          <w:color w:val="0070C0"/>
        </w:rPr>
      </w:pPr>
      <w:r w:rsidRPr="003A226E">
        <w:rPr>
          <w:color w:val="0070C0"/>
        </w:rPr>
        <w:t>The Chief of Police must report to the South Carolina Criminal Justice Academy the occurrence of any act or multiple acts by a law enforcement officer, who is currently or was last employed by his department, he reasonably believes to be misconduct. The report shall be made within fifteen days of the final department action resulting from the internal investigation conducted by the department, and shall be on a form prescribed by the council.</w:t>
      </w:r>
    </w:p>
    <w:p w:rsidR="00BB48A5" w:rsidRPr="003A226E" w:rsidRDefault="00BB48A5" w:rsidP="00BB48A5">
      <w:pPr>
        <w:numPr>
          <w:ilvl w:val="2"/>
          <w:numId w:val="13"/>
        </w:numPr>
        <w:spacing w:after="120"/>
        <w:rPr>
          <w:color w:val="0070C0"/>
        </w:rPr>
      </w:pPr>
      <w:r w:rsidRPr="003A226E">
        <w:rPr>
          <w:color w:val="0070C0"/>
        </w:rPr>
        <w:t>Reported incidences of misconduct shall be prosecuted by the reporting agency before the contested case hearing. The reporting agency shall maintain prosecutorial discretion up to the time of the contested case hearing. If the agency declines to prosecute the allegation or allegations of misconduct, the agency shall provide a written report to the council stating that the case is not being prosecuted</w:t>
      </w:r>
    </w:p>
    <w:p w:rsidR="00BB48A5" w:rsidRPr="003A226E" w:rsidRDefault="00BB48A5" w:rsidP="00BB48A5">
      <w:pPr>
        <w:numPr>
          <w:ilvl w:val="2"/>
          <w:numId w:val="13"/>
        </w:numPr>
        <w:spacing w:after="120"/>
        <w:rPr>
          <w:color w:val="0070C0"/>
        </w:rPr>
      </w:pPr>
      <w:r w:rsidRPr="003A226E">
        <w:rPr>
          <w:color w:val="0070C0"/>
        </w:rPr>
        <w:t xml:space="preserve">A </w:t>
      </w:r>
      <w:proofErr w:type="spellStart"/>
      <w:r w:rsidRPr="003A226E">
        <w:rPr>
          <w:color w:val="0070C0"/>
        </w:rPr>
        <w:t>wilful</w:t>
      </w:r>
      <w:proofErr w:type="spellEnd"/>
      <w:r w:rsidRPr="003A226E">
        <w:rPr>
          <w:color w:val="0070C0"/>
        </w:rPr>
        <w:t xml:space="preserve"> failure to report information related to acts of misconduct shall subject the violator to a civil penalty as provided by the council. The council may impose civil fines, in its discretion, not to exceed five hundred dollars per day for each day an agency is out of compliance with this section.</w:t>
      </w:r>
    </w:p>
    <w:p w:rsidR="00F768C2" w:rsidRPr="00767C16" w:rsidRDefault="00F768C2" w:rsidP="00767C16">
      <w:pPr>
        <w:numPr>
          <w:ilvl w:val="2"/>
          <w:numId w:val="13"/>
        </w:numPr>
        <w:spacing w:after="120"/>
        <w:rPr>
          <w:color w:val="00B050"/>
        </w:rPr>
      </w:pPr>
      <w:r w:rsidRPr="009810C5">
        <w:rPr>
          <w:color w:val="00B050"/>
        </w:rPr>
        <w:t xml:space="preserve">All sustained complaints must be </w:t>
      </w:r>
      <w:r w:rsidR="00715EA7" w:rsidRPr="009810C5">
        <w:rPr>
          <w:color w:val="00B050"/>
        </w:rPr>
        <w:t>reported to</w:t>
      </w:r>
      <w:r w:rsidRPr="009810C5">
        <w:rPr>
          <w:color w:val="00B050"/>
        </w:rPr>
        <w:t xml:space="preserve"> the South Carolina Law Enforcement Training Council on the standardized form provided by the Council. </w:t>
      </w:r>
      <w:r w:rsidR="00767C16" w:rsidRPr="00767C16">
        <w:rPr>
          <w:color w:val="00B050"/>
        </w:rPr>
        <w:t>Substantiated complaints include those offenses where an officer was suspended, or meets any of the other criteria as stated in South Carolina Code of Regulation 37-025.</w:t>
      </w:r>
    </w:p>
    <w:bookmarkEnd w:id="2"/>
    <w:p w:rsidR="00E96E43" w:rsidRPr="009810C5" w:rsidRDefault="00E96E43">
      <w:pPr>
        <w:rPr>
          <w:color w:val="00B050"/>
        </w:rPr>
      </w:pPr>
    </w:p>
    <w:sectPr w:rsidR="00E96E43" w:rsidRPr="009810C5">
      <w:footerReference w:type="even" r:id="rId13"/>
      <w:footerReference w:type="default" r:id="rId14"/>
      <w:pgSz w:w="12240" w:h="15840" w:code="1"/>
      <w:pgMar w:top="1008" w:right="1152" w:bottom="1008" w:left="1152"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44D" w:rsidRDefault="0073044D">
      <w:r>
        <w:separator/>
      </w:r>
    </w:p>
  </w:endnote>
  <w:endnote w:type="continuationSeparator" w:id="0">
    <w:p w:rsidR="0073044D" w:rsidRDefault="00730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D57" w:rsidRDefault="00BB5D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2170">
      <w:rPr>
        <w:rStyle w:val="PageNumber"/>
        <w:noProof/>
      </w:rPr>
      <w:t>1</w:t>
    </w:r>
    <w:r>
      <w:rPr>
        <w:rStyle w:val="PageNumber"/>
      </w:rPr>
      <w:fldChar w:fldCharType="end"/>
    </w:r>
  </w:p>
  <w:p w:rsidR="00BB5D57" w:rsidRDefault="00BB5D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D57" w:rsidRDefault="00BB5D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5264">
      <w:rPr>
        <w:rStyle w:val="PageNumber"/>
        <w:noProof/>
      </w:rPr>
      <w:t>3</w:t>
    </w:r>
    <w:r>
      <w:rPr>
        <w:rStyle w:val="PageNumber"/>
      </w:rPr>
      <w:fldChar w:fldCharType="end"/>
    </w:r>
  </w:p>
  <w:p w:rsidR="0054676D" w:rsidRDefault="0054676D" w:rsidP="0054676D">
    <w:pPr>
      <w:pStyle w:val="Footer"/>
      <w:ind w:right="360"/>
      <w:jc w:val="center"/>
      <w:rPr>
        <w:sz w:val="20"/>
        <w:szCs w:val="20"/>
      </w:rPr>
    </w:pPr>
    <w:r w:rsidRPr="00333BC9">
      <w:rPr>
        <w:sz w:val="20"/>
        <w:szCs w:val="20"/>
      </w:rPr>
      <w:t>©202</w:t>
    </w:r>
    <w:r>
      <w:rPr>
        <w:sz w:val="20"/>
        <w:szCs w:val="20"/>
      </w:rPr>
      <w:t>3</w:t>
    </w:r>
    <w:r>
      <w:rPr>
        <w:color w:val="FF0000"/>
        <w:sz w:val="20"/>
        <w:szCs w:val="20"/>
      </w:rPr>
      <w:t xml:space="preserve"> </w:t>
    </w:r>
    <w:r>
      <w:rPr>
        <w:sz w:val="20"/>
        <w:szCs w:val="20"/>
      </w:rPr>
      <w:t>Legal &amp; Liability Risk Management Institute.</w:t>
    </w:r>
  </w:p>
  <w:p w:rsidR="0054676D" w:rsidRDefault="0054676D" w:rsidP="0054676D">
    <w:pPr>
      <w:pStyle w:val="Footer"/>
      <w:ind w:right="360"/>
      <w:jc w:val="center"/>
      <w:rPr>
        <w:sz w:val="20"/>
        <w:szCs w:val="20"/>
      </w:rPr>
    </w:pPr>
    <w:r>
      <w:rPr>
        <w:sz w:val="20"/>
        <w:szCs w:val="20"/>
      </w:rPr>
      <w:t xml:space="preserve">Reprinting of this document </w:t>
    </w:r>
    <w:proofErr w:type="gramStart"/>
    <w:r>
      <w:rPr>
        <w:sz w:val="20"/>
        <w:szCs w:val="20"/>
      </w:rPr>
      <w:t>is prohibited</w:t>
    </w:r>
    <w:proofErr w:type="gramEnd"/>
    <w:r>
      <w:rPr>
        <w:sz w:val="20"/>
        <w:szCs w:val="20"/>
      </w:rPr>
      <w:t xml:space="preserve"> without license from LLRMI.</w:t>
    </w:r>
  </w:p>
  <w:p w:rsidR="0054676D" w:rsidRDefault="0054676D" w:rsidP="0054676D">
    <w:pPr>
      <w:pStyle w:val="Footer"/>
      <w:ind w:right="360"/>
      <w:jc w:val="center"/>
      <w:rPr>
        <w:sz w:val="20"/>
        <w:szCs w:val="20"/>
      </w:rPr>
    </w:pPr>
    <w:r>
      <w:rPr>
        <w:sz w:val="20"/>
        <w:szCs w:val="20"/>
      </w:rPr>
      <w:t>http://www.llrmi.com</w:t>
    </w:r>
  </w:p>
  <w:p w:rsidR="00BB5D57" w:rsidRDefault="00BB5D57" w:rsidP="00444965">
    <w:pPr>
      <w:pStyle w:val="Footer"/>
      <w:ind w:right="360"/>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44D" w:rsidRDefault="0073044D">
      <w:r>
        <w:separator/>
      </w:r>
    </w:p>
  </w:footnote>
  <w:footnote w:type="continuationSeparator" w:id="0">
    <w:p w:rsidR="0073044D" w:rsidRDefault="007304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06694"/>
    <w:multiLevelType w:val="multilevel"/>
    <w:tmpl w:val="825218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2226791"/>
    <w:multiLevelType w:val="hybridMultilevel"/>
    <w:tmpl w:val="E0B29EF6"/>
    <w:lvl w:ilvl="0" w:tplc="C52485B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CAB0AAA"/>
    <w:multiLevelType w:val="multilevel"/>
    <w:tmpl w:val="580648C8"/>
    <w:lvl w:ilvl="0">
      <w:start w:val="1"/>
      <w:numFmt w:val="upperRoman"/>
      <w:lvlText w:val="%1."/>
      <w:lvlJc w:val="left"/>
      <w:pPr>
        <w:tabs>
          <w:tab w:val="num" w:pos="360"/>
        </w:tabs>
        <w:ind w:left="0" w:firstLine="0"/>
      </w:pPr>
      <w:rPr>
        <w:rFonts w:hint="default"/>
        <w:b/>
        <w:i w:val="0"/>
        <w:sz w:val="24"/>
        <w:u w:val="none"/>
      </w:rPr>
    </w:lvl>
    <w:lvl w:ilvl="1">
      <w:start w:val="1"/>
      <w:numFmt w:val="lowerLetter"/>
      <w:lvlText w:val="%2."/>
      <w:lvlJc w:val="left"/>
      <w:pPr>
        <w:tabs>
          <w:tab w:val="num" w:pos="720"/>
        </w:tabs>
        <w:ind w:left="792" w:hanging="72"/>
      </w:pPr>
      <w:rPr>
        <w:rFonts w:hint="default"/>
      </w:rPr>
    </w:lvl>
    <w:lvl w:ilvl="2">
      <w:start w:val="1"/>
      <w:numFmt w:val="lowerRoman"/>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24C261FE"/>
    <w:multiLevelType w:val="hybridMultilevel"/>
    <w:tmpl w:val="1F624CBA"/>
    <w:lvl w:ilvl="0" w:tplc="E9085534">
      <w:start w:val="1"/>
      <w:numFmt w:val="bullet"/>
      <w:lvlText w:val="•"/>
      <w:lvlJc w:val="left"/>
      <w:pPr>
        <w:tabs>
          <w:tab w:val="num" w:pos="720"/>
        </w:tabs>
        <w:ind w:left="720" w:hanging="360"/>
      </w:pPr>
      <w:rPr>
        <w:rFonts w:ascii="Times New Roman" w:hAnsi="Times New Roman" w:hint="default"/>
      </w:rPr>
    </w:lvl>
    <w:lvl w:ilvl="1" w:tplc="23D89922" w:tentative="1">
      <w:start w:val="1"/>
      <w:numFmt w:val="bullet"/>
      <w:lvlText w:val="•"/>
      <w:lvlJc w:val="left"/>
      <w:pPr>
        <w:tabs>
          <w:tab w:val="num" w:pos="1440"/>
        </w:tabs>
        <w:ind w:left="1440" w:hanging="360"/>
      </w:pPr>
      <w:rPr>
        <w:rFonts w:ascii="Times New Roman" w:hAnsi="Times New Roman" w:hint="default"/>
      </w:rPr>
    </w:lvl>
    <w:lvl w:ilvl="2" w:tplc="52F4E124" w:tentative="1">
      <w:start w:val="1"/>
      <w:numFmt w:val="bullet"/>
      <w:lvlText w:val="•"/>
      <w:lvlJc w:val="left"/>
      <w:pPr>
        <w:tabs>
          <w:tab w:val="num" w:pos="2160"/>
        </w:tabs>
        <w:ind w:left="2160" w:hanging="360"/>
      </w:pPr>
      <w:rPr>
        <w:rFonts w:ascii="Times New Roman" w:hAnsi="Times New Roman" w:hint="default"/>
      </w:rPr>
    </w:lvl>
    <w:lvl w:ilvl="3" w:tplc="B054F8FE" w:tentative="1">
      <w:start w:val="1"/>
      <w:numFmt w:val="bullet"/>
      <w:lvlText w:val="•"/>
      <w:lvlJc w:val="left"/>
      <w:pPr>
        <w:tabs>
          <w:tab w:val="num" w:pos="2880"/>
        </w:tabs>
        <w:ind w:left="2880" w:hanging="360"/>
      </w:pPr>
      <w:rPr>
        <w:rFonts w:ascii="Times New Roman" w:hAnsi="Times New Roman" w:hint="default"/>
      </w:rPr>
    </w:lvl>
    <w:lvl w:ilvl="4" w:tplc="C5EC6192" w:tentative="1">
      <w:start w:val="1"/>
      <w:numFmt w:val="bullet"/>
      <w:lvlText w:val="•"/>
      <w:lvlJc w:val="left"/>
      <w:pPr>
        <w:tabs>
          <w:tab w:val="num" w:pos="3600"/>
        </w:tabs>
        <w:ind w:left="3600" w:hanging="360"/>
      </w:pPr>
      <w:rPr>
        <w:rFonts w:ascii="Times New Roman" w:hAnsi="Times New Roman" w:hint="default"/>
      </w:rPr>
    </w:lvl>
    <w:lvl w:ilvl="5" w:tplc="7CD0D22E" w:tentative="1">
      <w:start w:val="1"/>
      <w:numFmt w:val="bullet"/>
      <w:lvlText w:val="•"/>
      <w:lvlJc w:val="left"/>
      <w:pPr>
        <w:tabs>
          <w:tab w:val="num" w:pos="4320"/>
        </w:tabs>
        <w:ind w:left="4320" w:hanging="360"/>
      </w:pPr>
      <w:rPr>
        <w:rFonts w:ascii="Times New Roman" w:hAnsi="Times New Roman" w:hint="default"/>
      </w:rPr>
    </w:lvl>
    <w:lvl w:ilvl="6" w:tplc="AD4E385E" w:tentative="1">
      <w:start w:val="1"/>
      <w:numFmt w:val="bullet"/>
      <w:lvlText w:val="•"/>
      <w:lvlJc w:val="left"/>
      <w:pPr>
        <w:tabs>
          <w:tab w:val="num" w:pos="5040"/>
        </w:tabs>
        <w:ind w:left="5040" w:hanging="360"/>
      </w:pPr>
      <w:rPr>
        <w:rFonts w:ascii="Times New Roman" w:hAnsi="Times New Roman" w:hint="default"/>
      </w:rPr>
    </w:lvl>
    <w:lvl w:ilvl="7" w:tplc="B7F4B3E6" w:tentative="1">
      <w:start w:val="1"/>
      <w:numFmt w:val="bullet"/>
      <w:lvlText w:val="•"/>
      <w:lvlJc w:val="left"/>
      <w:pPr>
        <w:tabs>
          <w:tab w:val="num" w:pos="5760"/>
        </w:tabs>
        <w:ind w:left="5760" w:hanging="360"/>
      </w:pPr>
      <w:rPr>
        <w:rFonts w:ascii="Times New Roman" w:hAnsi="Times New Roman" w:hint="default"/>
      </w:rPr>
    </w:lvl>
    <w:lvl w:ilvl="8" w:tplc="EB16727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6716574"/>
    <w:multiLevelType w:val="hybridMultilevel"/>
    <w:tmpl w:val="35683390"/>
    <w:lvl w:ilvl="0" w:tplc="75DA8ABE">
      <w:start w:val="1"/>
      <w:numFmt w:val="upp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0310266"/>
    <w:multiLevelType w:val="multilevel"/>
    <w:tmpl w:val="C772DCBA"/>
    <w:lvl w:ilvl="0">
      <w:start w:val="1"/>
      <w:numFmt w:val="upperRoman"/>
      <w:lvlText w:val="%1."/>
      <w:lvlJc w:val="left"/>
      <w:pPr>
        <w:tabs>
          <w:tab w:val="num" w:pos="432"/>
        </w:tabs>
        <w:ind w:left="432" w:hanging="432"/>
      </w:pPr>
      <w:rPr>
        <w:rFonts w:hint="default"/>
        <w:b/>
      </w:rPr>
    </w:lvl>
    <w:lvl w:ilvl="1">
      <w:start w:val="1"/>
      <w:numFmt w:val="upperLetter"/>
      <w:lvlText w:val="%2."/>
      <w:lvlJc w:val="left"/>
      <w:pPr>
        <w:tabs>
          <w:tab w:val="num" w:pos="792"/>
        </w:tabs>
        <w:ind w:left="792" w:hanging="432"/>
      </w:pPr>
      <w:rPr>
        <w:rFonts w:hint="default"/>
        <w:b/>
      </w:rPr>
    </w:lvl>
    <w:lvl w:ilvl="2">
      <w:start w:val="1"/>
      <w:numFmt w:val="lowerLetter"/>
      <w:lvlText w:val="%3."/>
      <w:lvlJc w:val="left"/>
      <w:pPr>
        <w:tabs>
          <w:tab w:val="num" w:pos="1152"/>
        </w:tabs>
        <w:ind w:left="1152" w:hanging="432"/>
      </w:pPr>
      <w:rPr>
        <w:rFonts w:hint="default"/>
        <w:b/>
      </w:rPr>
    </w:lvl>
    <w:lvl w:ilvl="3">
      <w:start w:val="1"/>
      <w:numFmt w:val="decimal"/>
      <w:lvlText w:val="%4."/>
      <w:lvlJc w:val="left"/>
      <w:pPr>
        <w:ind w:left="1440" w:hanging="360"/>
      </w:pPr>
      <w:rPr>
        <w:b/>
        <w:bCs/>
      </w:rPr>
    </w:lvl>
    <w:lvl w:ilvl="4">
      <w:start w:val="1"/>
      <w:numFmt w:val="lowerLetter"/>
      <w:lvlText w:val="(%5)"/>
      <w:lvlJc w:val="left"/>
      <w:pPr>
        <w:tabs>
          <w:tab w:val="num" w:pos="1872"/>
        </w:tabs>
        <w:ind w:left="1872" w:hanging="432"/>
      </w:pPr>
      <w:rPr>
        <w:rFonts w:hint="default"/>
        <w:b/>
      </w:rPr>
    </w:lvl>
    <w:lvl w:ilvl="5">
      <w:start w:val="1"/>
      <w:numFmt w:val="lowerRoman"/>
      <w:lvlText w:val="(%6)"/>
      <w:lvlJc w:val="left"/>
      <w:pPr>
        <w:tabs>
          <w:tab w:val="num" w:pos="2232"/>
        </w:tabs>
        <w:ind w:left="2592" w:hanging="792"/>
      </w:pPr>
      <w:rPr>
        <w:rFonts w:hint="default"/>
      </w:rPr>
    </w:lvl>
    <w:lvl w:ilvl="6">
      <w:start w:val="1"/>
      <w:numFmt w:val="bullet"/>
      <w:lvlRestart w:val="0"/>
      <w:lvlText w:val=""/>
      <w:lvlJc w:val="left"/>
      <w:pPr>
        <w:tabs>
          <w:tab w:val="num" w:pos="2592"/>
        </w:tabs>
        <w:ind w:left="2592" w:hanging="432"/>
      </w:pPr>
      <w:rPr>
        <w:rFonts w:ascii="Symbol" w:hAnsi="Symbol"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2B87FB3"/>
    <w:multiLevelType w:val="multilevel"/>
    <w:tmpl w:val="A21C9FA6"/>
    <w:lvl w:ilvl="0">
      <w:start w:val="1"/>
      <w:numFmt w:val="bullet"/>
      <w:lvlText w:val=""/>
      <w:lvlJc w:val="left"/>
      <w:pPr>
        <w:tabs>
          <w:tab w:val="num" w:pos="1080"/>
        </w:tabs>
        <w:ind w:left="1080" w:hanging="360"/>
      </w:pPr>
      <w:rPr>
        <w:rFonts w:ascii="Symbol" w:hAnsi="Symbol" w:hint="default"/>
      </w:rPr>
    </w:lvl>
    <w:lvl w:ilvl="1">
      <w:start w:val="1"/>
      <w:numFmt w:val="upperLetter"/>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lowerRoman"/>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7" w15:restartNumberingAfterBreak="0">
    <w:nsid w:val="3B4C162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9195E84"/>
    <w:multiLevelType w:val="multilevel"/>
    <w:tmpl w:val="985C6F1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5EEF500D"/>
    <w:multiLevelType w:val="hybridMultilevel"/>
    <w:tmpl w:val="0CD25AA6"/>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25770F"/>
    <w:multiLevelType w:val="hybridMultilevel"/>
    <w:tmpl w:val="87D6BA16"/>
    <w:lvl w:ilvl="0" w:tplc="C52485B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43C14E7"/>
    <w:multiLevelType w:val="hybridMultilevel"/>
    <w:tmpl w:val="9F56421A"/>
    <w:lvl w:ilvl="0" w:tplc="0409000F">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2" w15:restartNumberingAfterBreak="0">
    <w:nsid w:val="664C2D63"/>
    <w:multiLevelType w:val="multilevel"/>
    <w:tmpl w:val="6120704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7ABD7F8C"/>
    <w:multiLevelType w:val="multilevel"/>
    <w:tmpl w:val="E54881D4"/>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Roman"/>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9"/>
  </w:num>
  <w:num w:numId="2">
    <w:abstractNumId w:val="0"/>
  </w:num>
  <w:num w:numId="3">
    <w:abstractNumId w:val="3"/>
  </w:num>
  <w:num w:numId="4">
    <w:abstractNumId w:val="4"/>
  </w:num>
  <w:num w:numId="5">
    <w:abstractNumId w:val="12"/>
  </w:num>
  <w:num w:numId="6">
    <w:abstractNumId w:val="1"/>
  </w:num>
  <w:num w:numId="7">
    <w:abstractNumId w:val="10"/>
  </w:num>
  <w:num w:numId="8">
    <w:abstractNumId w:val="8"/>
  </w:num>
  <w:num w:numId="9">
    <w:abstractNumId w:val="6"/>
  </w:num>
  <w:num w:numId="10">
    <w:abstractNumId w:val="13"/>
  </w:num>
  <w:num w:numId="11">
    <w:abstractNumId w:val="2"/>
  </w:num>
  <w:num w:numId="12">
    <w:abstractNumId w:val="11"/>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680"/>
    <w:rsid w:val="00024743"/>
    <w:rsid w:val="00062B77"/>
    <w:rsid w:val="000E3FF5"/>
    <w:rsid w:val="00111CD7"/>
    <w:rsid w:val="00142C7D"/>
    <w:rsid w:val="001837F4"/>
    <w:rsid w:val="00192053"/>
    <w:rsid w:val="001B4B3F"/>
    <w:rsid w:val="001D1680"/>
    <w:rsid w:val="001D239C"/>
    <w:rsid w:val="001D4B02"/>
    <w:rsid w:val="0025217D"/>
    <w:rsid w:val="002B01A8"/>
    <w:rsid w:val="002E5370"/>
    <w:rsid w:val="00350D26"/>
    <w:rsid w:val="003A226E"/>
    <w:rsid w:val="00431E4A"/>
    <w:rsid w:val="00444965"/>
    <w:rsid w:val="004D0416"/>
    <w:rsid w:val="00532F03"/>
    <w:rsid w:val="0054676D"/>
    <w:rsid w:val="005B20E1"/>
    <w:rsid w:val="0064586C"/>
    <w:rsid w:val="00651BDE"/>
    <w:rsid w:val="006D66BB"/>
    <w:rsid w:val="006E170E"/>
    <w:rsid w:val="00715EA7"/>
    <w:rsid w:val="0073044D"/>
    <w:rsid w:val="00767C16"/>
    <w:rsid w:val="007847F9"/>
    <w:rsid w:val="007B0EE5"/>
    <w:rsid w:val="00846F9E"/>
    <w:rsid w:val="0087360E"/>
    <w:rsid w:val="009221D0"/>
    <w:rsid w:val="00962170"/>
    <w:rsid w:val="009810C5"/>
    <w:rsid w:val="0099138D"/>
    <w:rsid w:val="00A02CC9"/>
    <w:rsid w:val="00A8508D"/>
    <w:rsid w:val="00AD5EF4"/>
    <w:rsid w:val="00B9548E"/>
    <w:rsid w:val="00B96167"/>
    <w:rsid w:val="00BB48A5"/>
    <w:rsid w:val="00BB5D57"/>
    <w:rsid w:val="00BC2BD4"/>
    <w:rsid w:val="00BC5264"/>
    <w:rsid w:val="00BC6C0F"/>
    <w:rsid w:val="00C65604"/>
    <w:rsid w:val="00C77241"/>
    <w:rsid w:val="00C906F5"/>
    <w:rsid w:val="00CD18D7"/>
    <w:rsid w:val="00DA4C92"/>
    <w:rsid w:val="00DB0FF4"/>
    <w:rsid w:val="00DD21A0"/>
    <w:rsid w:val="00E05411"/>
    <w:rsid w:val="00E22AE5"/>
    <w:rsid w:val="00E95560"/>
    <w:rsid w:val="00E96E43"/>
    <w:rsid w:val="00EA20A6"/>
    <w:rsid w:val="00F73DB0"/>
    <w:rsid w:val="00F768C2"/>
    <w:rsid w:val="00FE539E"/>
    <w:rsid w:val="00FE6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832B08C0-7FC4-4422-BBAC-566E4AF67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UnresolvedMention">
    <w:name w:val="Unresolved Mention"/>
    <w:uiPriority w:val="99"/>
    <w:semiHidden/>
    <w:unhideWhenUsed/>
    <w:rsid w:val="00BC6C0F"/>
    <w:rPr>
      <w:color w:val="605E5C"/>
      <w:shd w:val="clear" w:color="auto" w:fill="E1DFDD"/>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paragraph" w:styleId="ListParagraph">
    <w:name w:val="List Paragraph"/>
    <w:basedOn w:val="Normal"/>
    <w:uiPriority w:val="34"/>
    <w:qFormat/>
    <w:rsid w:val="00EA20A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4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scstatehouse.gov/code/t23c023.ph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D6A33DED4BD843969D0ABBAA972008" ma:contentTypeVersion="100" ma:contentTypeDescription="Create a new document." ma:contentTypeScope="" ma:versionID="bca4e2affd6825a5bb984e038c4a2a63">
  <xsd:schema xmlns:xsd="http://www.w3.org/2001/XMLSchema" xmlns:xs="http://www.w3.org/2001/XMLSchema" xmlns:p="http://schemas.microsoft.com/office/2006/metadata/properties" xmlns:ns2="94a6119d-4612-4b57-b01d-82a966e1e982" xmlns:ns3="18adaa7b-76c0-4b21-9a4e-a7385c284eba" targetNamespace="http://schemas.microsoft.com/office/2006/metadata/properties" ma:root="true" ma:fieldsID="34e717c3cd3cbdcdb313e3bad9e78efc" ns2:_="" ns3:_="">
    <xsd:import namespace="94a6119d-4612-4b57-b01d-82a966e1e982"/>
    <xsd:import namespace="18adaa7b-76c0-4b21-9a4e-a7385c284eba"/>
    <xsd:element name="properties">
      <xsd:complexType>
        <xsd:sequence>
          <xsd:element name="documentManagement">
            <xsd:complexType>
              <xsd:all>
                <xsd:element ref="ns2:MASCotContact" minOccurs="0"/>
                <xsd:element ref="ns2:MASCotReviewPeriod" minOccurs="0"/>
                <xsd:element ref="ns2:Municipality_x002F_EntityTaxHTField0" minOccurs="0"/>
                <xsd:element ref="ns2:RMS_x0020_ProgramTaxHTField0" minOccurs="0"/>
                <xsd:element ref="ns2:Content_x0020_TypeTaxHTField0" minOccurs="0"/>
                <xsd:element ref="ns2:YearTaxHTField0" minOccurs="0"/>
                <xsd:element ref="ns2:geb920c4276c482c94a407891df63396" minOccurs="0"/>
                <xsd:element ref="ns2:TaxCatchAll" minOccurs="0"/>
                <xsd:element ref="ns2:Loss_x0020_Control_x0020_Document_x0020_TypeTaxHTField0"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a6119d-4612-4b57-b01d-82a966e1e982" elementFormDefault="qualified">
    <xsd:import namespace="http://schemas.microsoft.com/office/2006/documentManagement/types"/>
    <xsd:import namespace="http://schemas.microsoft.com/office/infopath/2007/PartnerControls"/>
    <xsd:element name="MASCotContact" ma:index="10" nillable="true" ma:displayName="MASCot Contact" ma:list="UserInfo" ma:SharePointGroup="0" ma:internalName="MASCot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SCotReviewPeriod" ma:index="11" nillable="true" ma:displayName="MASCot Review Period" ma:format="Dropdown" ma:internalName="MASCotReviewPeriod" ma:readOnly="false">
      <xsd:simpleType>
        <xsd:restriction base="dms:Choice">
          <xsd:enumeration value="3 Months"/>
          <xsd:enumeration value="6 Months"/>
          <xsd:enumeration value="1 Year"/>
        </xsd:restriction>
      </xsd:simpleType>
    </xsd:element>
    <xsd:element name="Municipality_x002F_EntityTaxHTField0" ma:index="13" nillable="true" ma:taxonomy="true" ma:internalName="Municipality_x002F_EntityTaxHTField0" ma:taxonomyFieldName="Municipality_x002f_Entity" ma:displayName="Municipality/Entity" ma:indexed="true" ma:readOnly="false" ma:fieldId="{9f44798a-2727-4a2c-a54d-f41bb0f5cace}" ma:sspId="df1f66cd-8416-433e-9256-0257c23a4ee7" ma:termSetId="4d69ccf0-3144-409d-b0ab-45712e775632" ma:anchorId="d543fe0d-196f-4cb7-a549-7f06e7cdea3a" ma:open="false" ma:isKeyword="false">
      <xsd:complexType>
        <xsd:sequence>
          <xsd:element ref="pc:Terms" minOccurs="0" maxOccurs="1"/>
        </xsd:sequence>
      </xsd:complexType>
    </xsd:element>
    <xsd:element name="RMS_x0020_ProgramTaxHTField0" ma:index="15" nillable="true" ma:taxonomy="true" ma:internalName="RMS_x0020_ProgramTaxHTField0" ma:taxonomyFieldName="RMS_x0020_Program" ma:displayName="RMS Program" ma:indexed="true" ma:readOnly="false" ma:fieldId="{1b0e3d7e-d0ad-4506-8e46-493ebd02e912}" ma:sspId="df1f66cd-8416-433e-9256-0257c23a4ee7" ma:termSetId="5130e80b-073a-43c8-a2f5-090b8a87b2fc" ma:anchorId="00000000-0000-0000-0000-000000000000" ma:open="false" ma:isKeyword="false">
      <xsd:complexType>
        <xsd:sequence>
          <xsd:element ref="pc:Terms" minOccurs="0" maxOccurs="1"/>
        </xsd:sequence>
      </xsd:complexType>
    </xsd:element>
    <xsd:element name="Content_x0020_TypeTaxHTField0" ma:index="16" nillable="true" ma:taxonomy="true" ma:internalName="Content_x0020_TypeTaxHTField0" ma:taxonomyFieldName="Content_x0020_Type" ma:displayName="Content Type" ma:indexed="true" ma:readOnly="false" ma:fieldId="{69068555-679c-4d30-b033-08ec677a45ea}" ma:sspId="df1f66cd-8416-433e-9256-0257c23a4ee7" ma:termSetId="47ec8020-24b5-41e5-8a5a-d7d7979bf6f0" ma:anchorId="00000000-0000-0000-0000-000000000000" ma:open="false" ma:isKeyword="false">
      <xsd:complexType>
        <xsd:sequence>
          <xsd:element ref="pc:Terms" minOccurs="0" maxOccurs="1"/>
        </xsd:sequence>
      </xsd:complexType>
    </xsd:element>
    <xsd:element name="YearTaxHTField0" ma:index="17" nillable="true" ma:taxonomy="true" ma:internalName="YearTaxHTField0" ma:taxonomyFieldName="Year" ma:displayName="Year" ma:indexed="true" ma:readOnly="false" ma:default="-1;#2018|f6ff72ff-3cc8-4eb5-b026-1b9910252e09" ma:fieldId="{8dfa4fc5-c4d6-4ecf-ac1d-e1412b0dd6bd}" ma:sspId="df1f66cd-8416-433e-9256-0257c23a4ee7" ma:termSetId="fa4817e5-e540-4562-9877-5041e451025c" ma:anchorId="00000000-0000-0000-0000-000000000000" ma:open="true" ma:isKeyword="false">
      <xsd:complexType>
        <xsd:sequence>
          <xsd:element ref="pc:Terms" minOccurs="0" maxOccurs="1"/>
        </xsd:sequence>
      </xsd:complexType>
    </xsd:element>
    <xsd:element name="geb920c4276c482c94a407891df63396" ma:index="19" nillable="true" ma:taxonomy="true" ma:internalName="geb920c4276c482c94a407891df63396" ma:taxonomyFieldName="MASCotTag" ma:displayName="MASCot Tag" ma:readOnly="false" ma:fieldId="{0eb920c4-276c-482c-94a4-07891df63396}" ma:sspId="df1f66cd-8416-433e-9256-0257c23a4ee7" ma:termSetId="77da34b4-23ec-4e5a-9006-54b1d8a9a6bf"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17487c51-5803-4fbe-a1c9-0aca73d15746}" ma:internalName="TaxCatchAll" ma:showField="CatchAllData" ma:web="94a6119d-4612-4b57-b01d-82a966e1e982">
      <xsd:complexType>
        <xsd:complexContent>
          <xsd:extension base="dms:MultiChoiceLookup">
            <xsd:sequence>
              <xsd:element name="Value" type="dms:Lookup" maxOccurs="unbounded" minOccurs="0" nillable="true"/>
            </xsd:sequence>
          </xsd:extension>
        </xsd:complexContent>
      </xsd:complexType>
    </xsd:element>
    <xsd:element name="Loss_x0020_Control_x0020_Document_x0020_TypeTaxHTField0" ma:index="21" nillable="true" ma:taxonomy="true" ma:internalName="Loss_x0020_Control_x0020_Document_x0020_TypeTaxHTField0" ma:taxonomyFieldName="Loss_x0020_Control_x0020_Document_x0020_Type" ma:displayName="Document Type" ma:indexed="true" ma:readOnly="false" ma:fieldId="{37c770c6-5626-4c9e-ad7f-c0350763a9fd}" ma:sspId="df1f66cd-8416-433e-9256-0257c23a4ee7" ma:termSetId="b324d194-a0d3-4cfc-ad63-b0766d10ebaf" ma:anchorId="42a6d3fc-480c-425a-bb66-bb01e4d1e56b" ma:open="false" ma:isKeyword="false">
      <xsd:complexType>
        <xsd:sequence>
          <xsd:element ref="pc:Terms" minOccurs="0" maxOccurs="1"/>
        </xsd:sequence>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adaa7b-76c0-4b21-9a4e-a7385c284eba"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9" nillable="true" ma:displayName="Tags" ma:internalName="MediaServiceAutoTags"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Length (seconds)" ma:internalName="MediaLengthInSeconds" ma:readOnly="true">
      <xsd:simpleType>
        <xsd:restriction base="dms:Unknown"/>
      </xsd:simpleType>
    </xsd:element>
    <xsd:element name="lcf76f155ced4ddcb4097134ff3c332f" ma:index="36" nillable="true" ma:taxonomy="true" ma:internalName="lcf76f155ced4ddcb4097134ff3c332f" ma:taxonomyFieldName="MediaServiceImageTags" ma:displayName="Image Tags" ma:readOnly="false" ma:fieldId="{5cf76f15-5ced-4ddc-b409-7134ff3c332f}" ma:taxonomyMulti="true" ma:sspId="df1f66cd-8416-433e-9256-0257c23a4ee7" ma:termSetId="09814cd3-568e-fe90-9814-8d621ff8fb84" ma:anchorId="fba54fb3-c3e1-fe81-a776-ca4b69148c4d" ma:open="true" ma:isKeyword="false">
      <xsd:complexType>
        <xsd:sequence>
          <xsd:element ref="pc:Terms" minOccurs="0" maxOccurs="1"/>
        </xsd:sequence>
      </xsd:complex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unicipality_x002F_EntityTaxHTField0 xmlns="94a6119d-4612-4b57-b01d-82a966e1e982">
      <Terms xmlns="http://schemas.microsoft.com/office/infopath/2007/PartnerControls"/>
    </Municipality_x002F_EntityTaxHTField0>
    <Content_x0020_TypeTaxHTField0 xmlns="94a6119d-4612-4b57-b01d-82a966e1e982">
      <Terms xmlns="http://schemas.microsoft.com/office/infopath/2007/PartnerControls"/>
    </Content_x0020_TypeTaxHTField0>
    <MASCotReviewPeriod xmlns="94a6119d-4612-4b57-b01d-82a966e1e982" xsi:nil="true"/>
    <Loss_x0020_Control_x0020_Document_x0020_TypeTaxHTField0 xmlns="94a6119d-4612-4b57-b01d-82a966e1e982">
      <Terms xmlns="http://schemas.microsoft.com/office/infopath/2007/PartnerControls"/>
    </Loss_x0020_Control_x0020_Document_x0020_TypeTaxHTField0>
    <lcf76f155ced4ddcb4097134ff3c332f xmlns="18adaa7b-76c0-4b21-9a4e-a7385c284eba">
      <Terms xmlns="http://schemas.microsoft.com/office/infopath/2007/PartnerControls"/>
    </lcf76f155ced4ddcb4097134ff3c332f>
    <TaxCatchAll xmlns="94a6119d-4612-4b57-b01d-82a966e1e982">
      <Value>1</Value>
    </TaxCatchAll>
    <MASCotContact xmlns="94a6119d-4612-4b57-b01d-82a966e1e982">
      <UserInfo>
        <DisplayName/>
        <AccountId xsi:nil="true"/>
        <AccountType/>
      </UserInfo>
    </MASCotContact>
    <YearTaxHTField0 xmlns="94a6119d-4612-4b57-b01d-82a966e1e982">
      <Terms xmlns="http://schemas.microsoft.com/office/infopath/2007/PartnerControls">
        <TermInfo xmlns="http://schemas.microsoft.com/office/infopath/2007/PartnerControls">
          <TermName xmlns="http://schemas.microsoft.com/office/infopath/2007/PartnerControls">2018</TermName>
          <TermId xmlns="http://schemas.microsoft.com/office/infopath/2007/PartnerControls">f6ff72ff-3cc8-4eb5-b026-1b9910252e09</TermId>
        </TermInfo>
      </Terms>
    </YearTaxHTField0>
    <RMS_x0020_ProgramTaxHTField0 xmlns="94a6119d-4612-4b57-b01d-82a966e1e982">
      <Terms xmlns="http://schemas.microsoft.com/office/infopath/2007/PartnerControls"/>
    </RMS_x0020_ProgramTaxHTField0>
    <geb920c4276c482c94a407891df63396 xmlns="94a6119d-4612-4b57-b01d-82a966e1e982">
      <Terms xmlns="http://schemas.microsoft.com/office/infopath/2007/PartnerControls"/>
    </geb920c4276c482c94a407891df63396>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file>

<file path=customXml/item5.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CE1F3E7C-1F62-4985-945C-04001CF81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a6119d-4612-4b57-b01d-82a966e1e982"/>
    <ds:schemaRef ds:uri="18adaa7b-76c0-4b21-9a4e-a7385c284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3FB40B-4D68-4D2E-83CD-DBD642DC0164}">
  <ds:schemaRefs>
    <ds:schemaRef ds:uri="http://schemas.openxmlformats.org/package/2006/metadata/core-properties"/>
    <ds:schemaRef ds:uri="18adaa7b-76c0-4b21-9a4e-a7385c284eba"/>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94a6119d-4612-4b57-b01d-82a966e1e982"/>
    <ds:schemaRef ds:uri="http://www.w3.org/XML/1998/namespace"/>
    <ds:schemaRef ds:uri="http://purl.org/dc/dcmitype/"/>
  </ds:schemaRefs>
</ds:datastoreItem>
</file>

<file path=customXml/itemProps3.xml><?xml version="1.0" encoding="utf-8"?>
<ds:datastoreItem xmlns:ds="http://schemas.openxmlformats.org/officeDocument/2006/customXml" ds:itemID="{006F38AD-2A4B-49EF-BD11-4450630DCF65}">
  <ds:schemaRefs>
    <ds:schemaRef ds:uri="http://schemas.microsoft.com/office/2006/metadata/longProperties"/>
  </ds:schemaRefs>
</ds:datastoreItem>
</file>

<file path=customXml/itemProps4.xml><?xml version="1.0" encoding="utf-8"?>
<ds:datastoreItem xmlns:ds="http://schemas.openxmlformats.org/officeDocument/2006/customXml" ds:itemID="{33F2499A-F31A-4886-99CE-087B8072EC1E}">
  <ds:schemaRefs>
    <ds:schemaRef ds:uri="http://schemas.microsoft.com/sharepoint/v3/contenttype/forms"/>
  </ds:schemaRefs>
</ds:datastoreItem>
</file>

<file path=customXml/itemProps5.xml><?xml version="1.0" encoding="utf-8"?>
<ds:datastoreItem xmlns:ds="http://schemas.openxmlformats.org/officeDocument/2006/customXml" ds:itemID="{0FCBAA3F-E0E6-4D77-9134-C5483AE873D6}">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2807</Words>
  <Characters>15747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Internal affairs/citizen complaints</vt:lpstr>
    </vt:vector>
  </TitlesOfParts>
  <Company>LLRMI</Company>
  <LinksUpToDate>false</LinksUpToDate>
  <CharactersWithSpaces>18517</CharactersWithSpaces>
  <SharedDoc>false</SharedDoc>
  <HLinks>
    <vt:vector size="6" baseType="variant">
      <vt:variant>
        <vt:i4>5636117</vt:i4>
      </vt:variant>
      <vt:variant>
        <vt:i4>0</vt:i4>
      </vt:variant>
      <vt:variant>
        <vt:i4>0</vt:i4>
      </vt:variant>
      <vt:variant>
        <vt:i4>5</vt:i4>
      </vt:variant>
      <vt:variant>
        <vt:lpwstr>https://www.scstatehouse.gov/code/t23c023.php</vt:lpwstr>
      </vt:variant>
      <vt:variant>
        <vt:lpwstr>23-23-150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affairs/citizen complaints</dc:title>
  <dc:subject/>
  <dc:creator>Jack Ryan</dc:creator>
  <cp:keywords/>
  <cp:lastModifiedBy>Bethany Pendley</cp:lastModifiedBy>
  <cp:revision>3</cp:revision>
  <cp:lastPrinted>2007-04-08T18:36:00Z</cp:lastPrinted>
  <dcterms:created xsi:type="dcterms:W3CDTF">2022-11-17T19:23:00Z</dcterms:created>
  <dcterms:modified xsi:type="dcterms:W3CDTF">2022-11-17T19:27:00Z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Id">
    <vt:lpwstr>14f087de-f3ec-4047-a47f-c2553eb7e71f</vt:lpwstr>
  </property>
  <property fmtid="{D5CDD505-2E9C-101B-9397-08002B2CF9AE}" pid="3" name="Scope">
    <vt:lpwstr>4;#</vt:lpwstr>
  </property>
  <property fmtid="{D5CDD505-2E9C-101B-9397-08002B2CF9AE}" pid="4" name="SubCategory">
    <vt:lpwstr>165;#;#167;#;#128;#;#161;#</vt:lpwstr>
  </property>
  <property fmtid="{D5CDD505-2E9C-101B-9397-08002B2CF9AE}" pid="5" name="ContentType">
    <vt:lpwstr>Document</vt:lpwstr>
  </property>
  <property fmtid="{D5CDD505-2E9C-101B-9397-08002B2CF9AE}" pid="6" name="TemplateUrl">
    <vt:lpwstr/>
  </property>
  <property fmtid="{D5CDD505-2E9C-101B-9397-08002B2CF9AE}" pid="7" name="xd_ProgID">
    <vt:lpwstr/>
  </property>
  <property fmtid="{D5CDD505-2E9C-101B-9397-08002B2CF9AE}" pid="8" name="Order">
    <vt:lpwstr>191300.000000000</vt:lpwstr>
  </property>
  <property fmtid="{D5CDD505-2E9C-101B-9397-08002B2CF9AE}" pid="9" name="URL">
    <vt:lpwstr/>
  </property>
  <property fmtid="{D5CDD505-2E9C-101B-9397-08002B2CF9AE}" pid="10" name="_SourceUrl">
    <vt:lpwstr/>
  </property>
  <property fmtid="{D5CDD505-2E9C-101B-9397-08002B2CF9AE}" pid="11" name="_SharedFileIndex">
    <vt:lpwstr/>
  </property>
  <property fmtid="{D5CDD505-2E9C-101B-9397-08002B2CF9AE}" pid="12" name="display_urn:schemas-microsoft-com:office:office#Editor">
    <vt:lpwstr>Meredith Waldrop</vt:lpwstr>
  </property>
  <property fmtid="{D5CDD505-2E9C-101B-9397-08002B2CF9AE}" pid="13" name="xd_Signature">
    <vt:lpwstr/>
  </property>
  <property fmtid="{D5CDD505-2E9C-101B-9397-08002B2CF9AE}" pid="14" name="display_urn:schemas-microsoft-com:office:office#Author">
    <vt:lpwstr>Meredith Waldrop</vt:lpwstr>
  </property>
  <property fmtid="{D5CDD505-2E9C-101B-9397-08002B2CF9AE}" pid="15" name="PublishingStartDate">
    <vt:lpwstr/>
  </property>
  <property fmtid="{D5CDD505-2E9C-101B-9397-08002B2CF9AE}" pid="16" name="PublishingExpirationDate">
    <vt:lpwstr/>
  </property>
  <property fmtid="{D5CDD505-2E9C-101B-9397-08002B2CF9AE}" pid="17" name="MASCotTag">
    <vt:lpwstr/>
  </property>
  <property fmtid="{D5CDD505-2E9C-101B-9397-08002B2CF9AE}" pid="18" name="Year">
    <vt:lpwstr>1;#2018|f6ff72ff-3cc8-4eb5-b026-1b9910252e09</vt:lpwstr>
  </property>
  <property fmtid="{D5CDD505-2E9C-101B-9397-08002B2CF9AE}" pid="19" name="Content_x0020_Type">
    <vt:lpwstr/>
  </property>
  <property fmtid="{D5CDD505-2E9C-101B-9397-08002B2CF9AE}" pid="20" name="Content_x0020_TypeTaxHTField0">
    <vt:lpwstr/>
  </property>
  <property fmtid="{D5CDD505-2E9C-101B-9397-08002B2CF9AE}" pid="21" name="RMS_x0020_ProgramTaxHTField0">
    <vt:lpwstr/>
  </property>
  <property fmtid="{D5CDD505-2E9C-101B-9397-08002B2CF9AE}" pid="22" name="Loss_x0020_Control_x0020_Document_x0020_Type">
    <vt:lpwstr/>
  </property>
  <property fmtid="{D5CDD505-2E9C-101B-9397-08002B2CF9AE}" pid="23" name="MediaServiceImageTags">
    <vt:lpwstr/>
  </property>
  <property fmtid="{D5CDD505-2E9C-101B-9397-08002B2CF9AE}" pid="24" name="RMS_x0020_Program">
    <vt:lpwstr/>
  </property>
  <property fmtid="{D5CDD505-2E9C-101B-9397-08002B2CF9AE}" pid="25" name="Municipality_x002F_EntityTaxHTField0">
    <vt:lpwstr/>
  </property>
  <property fmtid="{D5CDD505-2E9C-101B-9397-08002B2CF9AE}" pid="26" name="Municipality_x002f_Entity">
    <vt:lpwstr/>
  </property>
  <property fmtid="{D5CDD505-2E9C-101B-9397-08002B2CF9AE}" pid="27" name="Loss_x0020_Control_x0020_Document_x0020_TypeTaxHTField0">
    <vt:lpwstr/>
  </property>
  <property fmtid="{D5CDD505-2E9C-101B-9397-08002B2CF9AE}" pid="29" name="RMS Program">
    <vt:lpwstr/>
  </property>
  <property fmtid="{D5CDD505-2E9C-101B-9397-08002B2CF9AE}" pid="30" name="Municipality/Entity">
    <vt:lpwstr/>
  </property>
  <property fmtid="{D5CDD505-2E9C-101B-9397-08002B2CF9AE}" pid="31" name="Content Type">
    <vt:lpwstr/>
  </property>
  <property fmtid="{D5CDD505-2E9C-101B-9397-08002B2CF9AE}" pid="32" name="Loss Control Document Type">
    <vt:lpwstr/>
  </property>
  <property fmtid="{D5CDD505-2E9C-101B-9397-08002B2CF9AE}" pid="33" name="ContentTypeId">
    <vt:lpwstr>0x010100F8D6A33DED4BD843969D0ABBAA972008</vt:lpwstr>
  </property>
</Properties>
</file>